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4FD" w:rsidRPr="000B28F5" w:rsidRDefault="00B204FD" w:rsidP="004E6A89">
      <w:pPr>
        <w:pStyle w:val="Heading1"/>
      </w:pPr>
      <w:bookmarkStart w:id="0" w:name="_Toc132185804"/>
      <w:r>
        <w:t>Lab</w:t>
      </w:r>
      <w:r w:rsidRPr="000B28F5">
        <w:t xml:space="preserve"> 3 – Database: Creat</w:t>
      </w:r>
      <w:r>
        <w:t>e</w:t>
      </w:r>
      <w:r w:rsidRPr="000B28F5">
        <w:t xml:space="preserve"> </w:t>
      </w:r>
      <w:bookmarkEnd w:id="0"/>
      <w:r>
        <w:t>the circle and the Block</w:t>
      </w:r>
    </w:p>
    <w:p w:rsidR="00B204FD" w:rsidRPr="000B28F5" w:rsidRDefault="00B204FD" w:rsidP="00B204FD">
      <w:pPr>
        <w:ind w:right="-1800"/>
        <w:rPr>
          <w:rFonts w:ascii="Arial" w:hAnsi="Arial" w:cs="Arial"/>
          <w:sz w:val="20"/>
          <w:szCs w:val="20"/>
        </w:rPr>
      </w:pPr>
    </w:p>
    <w:p w:rsidR="00B204FD" w:rsidRDefault="00B204FD" w:rsidP="004E6A89">
      <w:r>
        <w:t>In this lab, we will add a circle to model space, create a block and add a block reference to model space.</w:t>
      </w:r>
      <w:r w:rsidR="002E3FBA">
        <w:t xml:space="preserve"> (It references the block).</w:t>
      </w:r>
      <w:r w:rsidR="00B82DC3">
        <w:t xml:space="preserve"> </w:t>
      </w:r>
      <w:r w:rsidRPr="000B28F5">
        <w:t xml:space="preserve">The focus of this lab should be on the fundamentals of database access in AutoCAD. The major points are Transactions, </w:t>
      </w:r>
      <w:proofErr w:type="spellStart"/>
      <w:r w:rsidRPr="000B28F5">
        <w:t>ObjectIds</w:t>
      </w:r>
      <w:proofErr w:type="spellEnd"/>
      <w:proofErr w:type="gramStart"/>
      <w:r w:rsidRPr="00B82DC3">
        <w:rPr>
          <w:b/>
        </w:rPr>
        <w:t xml:space="preserve">, </w:t>
      </w:r>
      <w:r w:rsidR="0032742E">
        <w:rPr>
          <w:b/>
        </w:rPr>
        <w:t xml:space="preserve"> </w:t>
      </w:r>
      <w:r w:rsidRPr="00B82DC3">
        <w:t>Symbol</w:t>
      </w:r>
      <w:proofErr w:type="gramEnd"/>
      <w:r w:rsidRPr="00B82DC3">
        <w:t xml:space="preserve"> Tables such as </w:t>
      </w:r>
      <w:r w:rsidR="002E3FBA">
        <w:t xml:space="preserve">the </w:t>
      </w:r>
      <w:proofErr w:type="spellStart"/>
      <w:r w:rsidRPr="00B82DC3">
        <w:t>BlockTable</w:t>
      </w:r>
      <w:proofErr w:type="spellEnd"/>
      <w:r w:rsidR="00FF75A9" w:rsidRPr="00B82DC3">
        <w:t xml:space="preserve">. </w:t>
      </w:r>
      <w:r w:rsidRPr="00B82DC3">
        <w:t>Other objects are used in conjunction with our steps such as Point3d and Vector3d</w:t>
      </w:r>
      <w:r w:rsidR="00FF75A9" w:rsidRPr="00B82DC3">
        <w:t>.</w:t>
      </w:r>
      <w:r w:rsidRPr="000B28F5">
        <w:t xml:space="preserve"> </w:t>
      </w:r>
    </w:p>
    <w:p w:rsidR="004E6A89" w:rsidRDefault="004E6A89" w:rsidP="004E6A89">
      <w:pPr>
        <w:ind w:right="-1800"/>
        <w:rPr>
          <w:rFonts w:ascii="Arial" w:hAnsi="Arial" w:cs="Arial"/>
          <w:sz w:val="20"/>
          <w:szCs w:val="20"/>
        </w:rPr>
      </w:pPr>
    </w:p>
    <w:p w:rsidR="00F95121" w:rsidRPr="00F95121" w:rsidRDefault="004E6A89" w:rsidP="00F95121">
      <w:r w:rsidRPr="00B82DC3">
        <w:t>Open the Lab3 project or continue where you left off in your Lab2 code</w:t>
      </w:r>
      <w:r>
        <w:t xml:space="preserve"> by copying the steps below. </w:t>
      </w:r>
      <w:r w:rsidRPr="00111EB0">
        <w:t>Work through the steps to create a circle</w:t>
      </w:r>
      <w:r>
        <w:t>,</w:t>
      </w:r>
      <w:r w:rsidRPr="00111EB0">
        <w:t xml:space="preserve"> block</w:t>
      </w:r>
      <w:r>
        <w:t xml:space="preserve"> and block reference</w:t>
      </w:r>
      <w:r w:rsidRPr="00111EB0">
        <w:t>.</w:t>
      </w:r>
      <w:r>
        <w:t xml:space="preserve"> </w:t>
      </w:r>
      <w:r w:rsidR="00F95121">
        <w:t>Below the</w:t>
      </w:r>
      <w:r w:rsidR="0032742E">
        <w:t>se</w:t>
      </w:r>
      <w:r w:rsidR="00F95121">
        <w:t xml:space="preserve"> steps is a discussion </w:t>
      </w:r>
      <w:r w:rsidR="00F95121" w:rsidRPr="00F95121">
        <w:t xml:space="preserve">about </w:t>
      </w:r>
      <w:r w:rsidR="00F95121">
        <w:t>t</w:t>
      </w:r>
      <w:r w:rsidR="00F95121" w:rsidRPr="00F95121">
        <w:t>ransactions, Exception Handling and the using keyword.</w:t>
      </w:r>
    </w:p>
    <w:p w:rsidR="00F95121" w:rsidRDefault="00F95121" w:rsidP="00F95121"/>
    <w:p w:rsidR="009064AE" w:rsidRDefault="009064AE" w:rsidP="00F95121">
      <w:r>
        <w:t xml:space="preserve">Note: Copy steps 1-10 after this </w:t>
      </w:r>
      <w:r w:rsidR="00A03822">
        <w:t>“</w:t>
      </w:r>
      <w:r>
        <w:t>if</w:t>
      </w:r>
      <w:r w:rsidR="00A03822">
        <w:t>”</w:t>
      </w:r>
      <w:r>
        <w:t xml:space="preserve"> statement in the Case Circle from Lab 2. </w:t>
      </w:r>
    </w:p>
    <w:p w:rsidR="009064AE" w:rsidRDefault="00A03822" w:rsidP="003545B7">
      <w:pPr>
        <w:autoSpaceDE w:val="0"/>
        <w:autoSpaceDN w:val="0"/>
        <w:adjustRightInd w:val="0"/>
        <w:rPr>
          <w:rFonts w:ascii="Courier New" w:eastAsiaTheme="minorHAnsi" w:hAnsi="Courier New" w:cs="Courier New"/>
          <w:noProof/>
          <w:sz w:val="20"/>
          <w:szCs w:val="20"/>
          <w:lang w:eastAsia="en-US"/>
        </w:rPr>
      </w:pPr>
      <w:r>
        <w:rPr>
          <w:rFonts w:ascii="Courier New" w:eastAsiaTheme="minorHAnsi" w:hAnsi="Courier New" w:cs="Courier New"/>
          <w:noProof/>
          <w:color w:val="0000FF"/>
          <w:sz w:val="20"/>
          <w:szCs w:val="20"/>
          <w:lang w:eastAsia="en-US"/>
        </w:rPr>
        <w:t>if</w:t>
      </w:r>
      <w:r>
        <w:rPr>
          <w:rFonts w:ascii="Courier New" w:eastAsiaTheme="minorHAnsi" w:hAnsi="Courier New" w:cs="Courier New"/>
          <w:noProof/>
          <w:sz w:val="20"/>
          <w:szCs w:val="20"/>
          <w:lang w:eastAsia="en-US"/>
        </w:rPr>
        <w:t xml:space="preserve"> ((getRadiusResult.Status == </w:t>
      </w:r>
      <w:r>
        <w:rPr>
          <w:rFonts w:ascii="Courier New" w:eastAsiaTheme="minorHAnsi" w:hAnsi="Courier New" w:cs="Courier New"/>
          <w:noProof/>
          <w:color w:val="2B91AF"/>
          <w:sz w:val="20"/>
          <w:szCs w:val="20"/>
          <w:lang w:eastAsia="en-US"/>
        </w:rPr>
        <w:t>PromptStatus</w:t>
      </w:r>
      <w:r>
        <w:rPr>
          <w:rFonts w:ascii="Courier New" w:eastAsiaTheme="minorHAnsi" w:hAnsi="Courier New" w:cs="Courier New"/>
          <w:noProof/>
          <w:sz w:val="20"/>
          <w:szCs w:val="20"/>
          <w:lang w:eastAsia="en-US"/>
        </w:rPr>
        <w:t>.OK))</w:t>
      </w:r>
    </w:p>
    <w:p w:rsidR="00A03822" w:rsidRDefault="00A03822" w:rsidP="003545B7">
      <w:pPr>
        <w:autoSpaceDE w:val="0"/>
        <w:autoSpaceDN w:val="0"/>
        <w:adjustRightInd w:val="0"/>
        <w:rPr>
          <w:rFonts w:ascii="Courier New" w:eastAsiaTheme="minorHAnsi" w:hAnsi="Courier New" w:cs="Courier New"/>
          <w:noProof/>
          <w:color w:val="008000"/>
          <w:sz w:val="20"/>
          <w:szCs w:val="20"/>
          <w:lang w:eastAsia="en-US"/>
        </w:rPr>
      </w:pP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Begining of Lab3. Create the Circle or Block and BlockReference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1. Declare a Database variable and instantiate it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using the Document.Database property of the editor created above. (ed)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Note: Add the Autodesk.AutoCAD.DatabaseServices; namespace for Database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and Transaction</w:t>
      </w:r>
      <w:r w:rsidR="003E76ED">
        <w:rPr>
          <w:rFonts w:ascii="Courier New" w:eastAsiaTheme="minorHAnsi" w:hAnsi="Courier New" w:cs="Courier New"/>
          <w:noProof/>
          <w:color w:val="008000"/>
          <w:sz w:val="20"/>
          <w:szCs w:val="20"/>
          <w:lang w:eastAsia="en-US"/>
        </w:rPr>
        <w:t>,</w:t>
      </w:r>
      <w:r>
        <w:rPr>
          <w:rFonts w:ascii="Courier New" w:eastAsiaTheme="minorHAnsi" w:hAnsi="Courier New" w:cs="Courier New"/>
          <w:noProof/>
          <w:color w:val="008000"/>
          <w:sz w:val="20"/>
          <w:szCs w:val="20"/>
          <w:lang w:eastAsia="en-US"/>
        </w:rPr>
        <w:t xml:space="preserve"> </w:t>
      </w:r>
      <w:r w:rsidR="003E76ED">
        <w:rPr>
          <w:rFonts w:ascii="Courier New" w:eastAsiaTheme="minorHAnsi" w:hAnsi="Courier New" w:cs="Courier New"/>
          <w:noProof/>
          <w:color w:val="008000"/>
          <w:sz w:val="20"/>
          <w:szCs w:val="20"/>
          <w:lang w:eastAsia="en-US"/>
        </w:rPr>
        <w:t>u</w:t>
      </w:r>
      <w:r>
        <w:rPr>
          <w:rFonts w:ascii="Courier New" w:eastAsiaTheme="minorHAnsi" w:hAnsi="Courier New" w:cs="Courier New"/>
          <w:noProof/>
          <w:color w:val="008000"/>
          <w:sz w:val="20"/>
          <w:szCs w:val="20"/>
          <w:lang w:eastAsia="en-US"/>
        </w:rPr>
        <w:t xml:space="preserve">se the using keyword (above the class declaration)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2. Declare a Transaction variable</w:t>
      </w:r>
      <w:r w:rsidR="00B653DF">
        <w:rPr>
          <w:rFonts w:ascii="Courier New" w:eastAsiaTheme="minorHAnsi" w:hAnsi="Courier New" w:cs="Courier New"/>
          <w:noProof/>
          <w:color w:val="008000"/>
          <w:sz w:val="20"/>
          <w:szCs w:val="20"/>
          <w:lang w:eastAsia="en-US"/>
        </w:rPr>
        <w:t>;</w:t>
      </w:r>
      <w:r>
        <w:rPr>
          <w:rFonts w:ascii="Courier New" w:eastAsiaTheme="minorHAnsi" w:hAnsi="Courier New" w:cs="Courier New"/>
          <w:noProof/>
          <w:color w:val="008000"/>
          <w:sz w:val="20"/>
          <w:szCs w:val="20"/>
          <w:lang w:eastAsia="en-US"/>
        </w:rPr>
        <w:t xml:space="preserve"> instantiate it using the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TransactionManager.StartTransaction method of the Databse</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created in step 1.</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3. Add a try, catch and finally block. Move the try closing curly</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brace right after step 8. Put the catch statement after this.</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Enclose  step 9 in the catch call. Enclose step 10 in the finally call.</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(Build the project and fix any problems).</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4. Declare a Circle variable and create it using the new keyword.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Use the the Value property of the PromptPointResult created in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Lab2 for the first parameter. For the second parameter (normal)</w:t>
      </w:r>
      <w:r w:rsidR="00B653DF">
        <w:rPr>
          <w:rFonts w:ascii="Courier New" w:eastAsiaTheme="minorHAnsi" w:hAnsi="Courier New" w:cs="Courier New"/>
          <w:noProof/>
          <w:color w:val="008000"/>
          <w:sz w:val="20"/>
          <w:szCs w:val="20"/>
          <w:lang w:eastAsia="en-US"/>
        </w:rPr>
        <w:t xml:space="preserve"> </w:t>
      </w:r>
      <w:r>
        <w:rPr>
          <w:rFonts w:ascii="Courier New" w:eastAsiaTheme="minorHAnsi" w:hAnsi="Courier New" w:cs="Courier New"/>
          <w:noProof/>
          <w:color w:val="008000"/>
          <w:sz w:val="20"/>
          <w:szCs w:val="20"/>
          <w:lang w:eastAsia="en-US"/>
        </w:rPr>
        <w:t xml:space="preserve">use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Vector3d.ZAxis. Use the Value property of the PromptDoubleResult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(created in Lab2) for the radius.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Note: Need to add Autodesk.AutoCAD.Geometry; namespace for Vector3d.</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5. Declare a BlockTableRecord variable. Instatiate it using the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GetObject method of the Transaction variable create</w:t>
      </w:r>
      <w:r w:rsidR="00B653DF">
        <w:rPr>
          <w:rFonts w:ascii="Courier New" w:eastAsiaTheme="minorHAnsi" w:hAnsi="Courier New" w:cs="Courier New"/>
          <w:noProof/>
          <w:color w:val="008000"/>
          <w:sz w:val="20"/>
          <w:szCs w:val="20"/>
          <w:lang w:eastAsia="en-US"/>
        </w:rPr>
        <w:t>d</w:t>
      </w:r>
      <w:r>
        <w:rPr>
          <w:rFonts w:ascii="Courier New" w:eastAsiaTheme="minorHAnsi" w:hAnsi="Courier New" w:cs="Courier New"/>
          <w:noProof/>
          <w:color w:val="008000"/>
          <w:sz w:val="20"/>
          <w:szCs w:val="20"/>
          <w:lang w:eastAsia="en-US"/>
        </w:rPr>
        <w:t xml:space="preserve"> in step 2.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Use the CurrentSpaceId property of the Database variable created in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step 1 for the first parameter. (ObjectId) For the second parameter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use OpenMode.ForWrite. We are adding the circle to either ModelSpace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or PaperSpace. (the CurrentSpaceId determines this)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6. Add the Circle to the BlockTableRecord created in step 5. Use the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AppendEntity method and pass in the circle created in step 4.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7. Tell the transaction about the new circle so that it can autoclose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it. Use the AddNewlyCreatedDBObject method. The first argument is the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circle. Use True for the second argument.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8. Commit the transaction by calling the Commit method. If the code gets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this far everything should have worked correctly.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9. Declare an Exception variable for the Catch.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(add "(Exception ex)" to the catch keyword)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Use the WriteMessage of the Editor variable (ed) created in Lab2.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Use "problem due to " + ex.Message for the Message parameter.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If an error occurs the details of the problem will be printed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on the AutoCAD command line.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10. Dispose the transaction by calling the Dispose method </w:t>
      </w:r>
    </w:p>
    <w:p w:rsidR="003545B7" w:rsidRDefault="003545B7" w:rsidP="003545B7">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of the Transaction created in step 2. This will be called </w:t>
      </w:r>
    </w:p>
    <w:p w:rsidR="00F95121" w:rsidRDefault="003545B7" w:rsidP="003545B7">
      <w:r>
        <w:rPr>
          <w:rFonts w:ascii="Courier New" w:eastAsiaTheme="minorHAnsi" w:hAnsi="Courier New" w:cs="Courier New"/>
          <w:noProof/>
          <w:color w:val="008000"/>
          <w:sz w:val="20"/>
          <w:szCs w:val="20"/>
          <w:lang w:eastAsia="en-US"/>
        </w:rPr>
        <w:t>//whether an error on not occurred.</w:t>
      </w:r>
    </w:p>
    <w:p w:rsidR="00F95121" w:rsidRDefault="00F95121" w:rsidP="00F95121"/>
    <w:p w:rsidR="009064AE" w:rsidRDefault="009064AE" w:rsidP="009064AE">
      <w:r>
        <w:t xml:space="preserve">Note: Copy steps 11-36 after this </w:t>
      </w:r>
      <w:r w:rsidR="000433AB">
        <w:t>“</w:t>
      </w:r>
      <w:r>
        <w:t>if</w:t>
      </w:r>
      <w:r w:rsidR="000433AB">
        <w:t>”</w:t>
      </w:r>
      <w:r>
        <w:t xml:space="preserve"> statement in the Case Block from Lab 2. </w:t>
      </w:r>
    </w:p>
    <w:p w:rsidR="009064AE" w:rsidRDefault="000433AB" w:rsidP="009064AE">
      <w:pPr>
        <w:autoSpaceDE w:val="0"/>
        <w:autoSpaceDN w:val="0"/>
        <w:adjustRightInd w:val="0"/>
        <w:rPr>
          <w:rFonts w:ascii="Courier New" w:eastAsiaTheme="minorHAnsi" w:hAnsi="Courier New" w:cs="Courier New"/>
          <w:noProof/>
          <w:sz w:val="20"/>
          <w:szCs w:val="20"/>
          <w:lang w:eastAsia="en-US"/>
        </w:rPr>
      </w:pPr>
      <w:r>
        <w:rPr>
          <w:rFonts w:ascii="Courier New" w:eastAsiaTheme="minorHAnsi" w:hAnsi="Courier New" w:cs="Courier New"/>
          <w:noProof/>
          <w:color w:val="0000FF"/>
          <w:sz w:val="20"/>
          <w:szCs w:val="20"/>
          <w:lang w:eastAsia="en-US"/>
        </w:rPr>
        <w:t>if</w:t>
      </w:r>
      <w:r>
        <w:rPr>
          <w:rFonts w:ascii="Courier New" w:eastAsiaTheme="minorHAnsi" w:hAnsi="Courier New" w:cs="Courier New"/>
          <w:noProof/>
          <w:sz w:val="20"/>
          <w:szCs w:val="20"/>
          <w:lang w:eastAsia="en-US"/>
        </w:rPr>
        <w:t xml:space="preserve"> (blockNameResult.Status == </w:t>
      </w:r>
      <w:r>
        <w:rPr>
          <w:rFonts w:ascii="Courier New" w:eastAsiaTheme="minorHAnsi" w:hAnsi="Courier New" w:cs="Courier New"/>
          <w:noProof/>
          <w:color w:val="2B91AF"/>
          <w:sz w:val="20"/>
          <w:szCs w:val="20"/>
          <w:lang w:eastAsia="en-US"/>
        </w:rPr>
        <w:t>PromptStatus</w:t>
      </w:r>
      <w:r>
        <w:rPr>
          <w:rFonts w:ascii="Courier New" w:eastAsiaTheme="minorHAnsi" w:hAnsi="Courier New" w:cs="Courier New"/>
          <w:noProof/>
          <w:sz w:val="20"/>
          <w:szCs w:val="20"/>
          <w:lang w:eastAsia="en-US"/>
        </w:rPr>
        <w:t>.OK)</w:t>
      </w:r>
    </w:p>
    <w:p w:rsidR="000433AB" w:rsidRDefault="000433AB"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11. Declare a Database variable and instantiate it using the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Document.Database property of the editor created above. (ed)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12. Declare a Transaction variable</w:t>
      </w:r>
      <w:r w:rsidR="00B653DF">
        <w:rPr>
          <w:rFonts w:ascii="Courier New" w:eastAsiaTheme="minorHAnsi" w:hAnsi="Courier New" w:cs="Courier New"/>
          <w:noProof/>
          <w:color w:val="008000"/>
          <w:sz w:val="20"/>
          <w:szCs w:val="20"/>
          <w:lang w:eastAsia="en-US"/>
        </w:rPr>
        <w:t>;</w:t>
      </w:r>
      <w:r>
        <w:rPr>
          <w:rFonts w:ascii="Courier New" w:eastAsiaTheme="minorHAnsi" w:hAnsi="Courier New" w:cs="Courier New"/>
          <w:noProof/>
          <w:color w:val="008000"/>
          <w:sz w:val="20"/>
          <w:szCs w:val="20"/>
          <w:lang w:eastAsia="en-US"/>
        </w:rPr>
        <w:t xml:space="preserve"> instantiate it using the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TransactionManager.StartTransaction method.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13. Add a try, catch and finally block. Move the closing curly</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brace right after step 34. Put the catch statement after this.</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Enclose  step 35 in the catch call. Enclose step 36 in the finally call.</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14. Declare a BlockTableRecord variable. Create it using the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new keyword.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15. Set the name of the BlockTableRecord. Use the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StringResult property of the PromptResult variable above.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(created in Lab2)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16. Declare a variable as a BlockTable. Instiate it using the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GetObject method of the Transaction</w:t>
      </w:r>
      <w:r w:rsidR="003E76ED">
        <w:rPr>
          <w:rFonts w:ascii="Courier New" w:eastAsiaTheme="minorHAnsi" w:hAnsi="Courier New" w:cs="Courier New"/>
          <w:noProof/>
          <w:color w:val="008000"/>
          <w:sz w:val="20"/>
          <w:szCs w:val="20"/>
          <w:lang w:eastAsia="en-US"/>
        </w:rPr>
        <w:t>.</w:t>
      </w:r>
      <w:r>
        <w:rPr>
          <w:rFonts w:ascii="Courier New" w:eastAsiaTheme="minorHAnsi" w:hAnsi="Courier New" w:cs="Courier New"/>
          <w:noProof/>
          <w:color w:val="008000"/>
          <w:sz w:val="20"/>
          <w:szCs w:val="20"/>
          <w:lang w:eastAsia="en-US"/>
        </w:rPr>
        <w:t xml:space="preserve"> Use the BlockTableId property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of the Database variable created in step 11 for the first parameter.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Use OpenMode.ForRead for the second parameter. We are opening for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read to check if a block with the name provided by the user already exists.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17. Add an if statement. Test to see if the BlockTable has a block by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using the Has method of the variable created in step 16. For the string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Parameter use the StringResult property of the PromptResult variable above.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created in Lab2. Check to see if it equals False.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Move the closing curly brace below Step 34.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18. The Block with that name does not exist so add it.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First make the BlockTable open for write. Do this by calling the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UpgradeOpen() method of the BlockTable. (created in step 16)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19. Add the BlockTableRecord created in step 14. Use the Add method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of the BlockTable and pass in the BlockTableRecord.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20. Tell the transaction about the new Block so that it can autoclose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it. Use the AddNewlyCreatedDBObject method. The first argument is the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BlockTableRecord. Use </w:t>
      </w:r>
      <w:r w:rsidR="003E76ED">
        <w:rPr>
          <w:rFonts w:ascii="Courier New" w:eastAsiaTheme="minorHAnsi" w:hAnsi="Courier New" w:cs="Courier New"/>
          <w:noProof/>
          <w:color w:val="008000"/>
          <w:sz w:val="20"/>
          <w:szCs w:val="20"/>
          <w:lang w:eastAsia="en-US"/>
        </w:rPr>
        <w:t>t</w:t>
      </w:r>
      <w:r>
        <w:rPr>
          <w:rFonts w:ascii="Courier New" w:eastAsiaTheme="minorHAnsi" w:hAnsi="Courier New" w:cs="Courier New"/>
          <w:noProof/>
          <w:color w:val="008000"/>
          <w:sz w:val="20"/>
          <w:szCs w:val="20"/>
          <w:lang w:eastAsia="en-US"/>
        </w:rPr>
        <w:t xml:space="preserve">rue for the second argument.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21. In the next two steps you add circles to the BlockTableRecord.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Declare a variable as a Circle and instantiate it using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the new Keyword. For the first argument create a new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Point3d use (0,0,0), for the second argument use Vector3d.ZAxis</w:t>
      </w:r>
      <w:r w:rsidR="00F76765">
        <w:rPr>
          <w:rFonts w:ascii="Courier New" w:eastAsiaTheme="minorHAnsi" w:hAnsi="Courier New" w:cs="Courier New"/>
          <w:noProof/>
          <w:color w:val="008000"/>
          <w:sz w:val="20"/>
          <w:szCs w:val="20"/>
          <w:lang w:eastAsia="en-US"/>
        </w:rPr>
        <w:t>,</w:t>
      </w:r>
      <w:r>
        <w:rPr>
          <w:rFonts w:ascii="Courier New" w:eastAsiaTheme="minorHAnsi" w:hAnsi="Courier New" w:cs="Courier New"/>
          <w:noProof/>
          <w:color w:val="008000"/>
          <w:sz w:val="20"/>
          <w:szCs w:val="20"/>
          <w:lang w:eastAsia="en-US"/>
        </w:rPr>
        <w:t xml:space="preserv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use 10 for the Radius argument.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22. Append the circle to the BlockTableRecord.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Use the AppendEntity method pass in the circle from step 21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23. Now add another circle to the BlockTableRecord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Declare a variable as a Circle and instantiate it using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the new Keyword. For the first argument create a new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Point3d use (20,10,0), for the second arguement use Vector3d.ZAxis</w:t>
      </w:r>
      <w:r w:rsidR="00C643F3">
        <w:rPr>
          <w:rFonts w:ascii="Courier New" w:eastAsiaTheme="minorHAnsi" w:hAnsi="Courier New" w:cs="Courier New"/>
          <w:noProof/>
          <w:color w:val="008000"/>
          <w:sz w:val="20"/>
          <w:szCs w:val="20"/>
          <w:lang w:eastAsia="en-US"/>
        </w:rPr>
        <w:t>,</w:t>
      </w:r>
      <w:r>
        <w:rPr>
          <w:rFonts w:ascii="Courier New" w:eastAsiaTheme="minorHAnsi" w:hAnsi="Courier New" w:cs="Courier New"/>
          <w:noProof/>
          <w:color w:val="008000"/>
          <w:sz w:val="20"/>
          <w:szCs w:val="20"/>
          <w:lang w:eastAsia="en-US"/>
        </w:rPr>
        <w:t xml:space="preserv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use 10 for the Radius argument.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r w:rsidR="009F1FDE">
        <w:rPr>
          <w:rFonts w:ascii="Courier New" w:eastAsiaTheme="minorHAnsi" w:hAnsi="Courier New" w:cs="Courier New"/>
          <w:noProof/>
          <w:color w:val="008000"/>
          <w:sz w:val="20"/>
          <w:szCs w:val="20"/>
          <w:lang w:eastAsia="en-US"/>
        </w:rPr>
        <w:t>24</w:t>
      </w:r>
      <w:r>
        <w:rPr>
          <w:rFonts w:ascii="Courier New" w:eastAsiaTheme="minorHAnsi" w:hAnsi="Courier New" w:cs="Courier New"/>
          <w:noProof/>
          <w:color w:val="008000"/>
          <w:sz w:val="20"/>
          <w:szCs w:val="20"/>
          <w:lang w:eastAsia="en-US"/>
        </w:rPr>
        <w:t xml:space="preserve">. Append the second circle to the BlockTableRecord.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Use the AppendEntity method pass in the circle from step 23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r w:rsidR="009F1FDE">
        <w:rPr>
          <w:rFonts w:ascii="Courier New" w:eastAsiaTheme="minorHAnsi" w:hAnsi="Courier New" w:cs="Courier New"/>
          <w:noProof/>
          <w:color w:val="008000"/>
          <w:sz w:val="20"/>
          <w:szCs w:val="20"/>
          <w:lang w:eastAsia="en-US"/>
        </w:rPr>
        <w:t>25</w:t>
      </w:r>
      <w:r>
        <w:rPr>
          <w:rFonts w:ascii="Courier New" w:eastAsiaTheme="minorHAnsi" w:hAnsi="Courier New" w:cs="Courier New"/>
          <w:noProof/>
          <w:color w:val="008000"/>
          <w:sz w:val="20"/>
          <w:szCs w:val="20"/>
          <w:lang w:eastAsia="en-US"/>
        </w:rPr>
        <w:t xml:space="preserve">. Tell the transaction manager about the new objects so that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the transaction will autoclose them. Call the AddNewlyCreatedDBObject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pass in the Circle created in step 21. Do this again for the circle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Created in step 23. (use </w:t>
      </w:r>
      <w:r w:rsidR="00F76765">
        <w:rPr>
          <w:rFonts w:ascii="Courier New" w:eastAsiaTheme="minorHAnsi" w:hAnsi="Courier New" w:cs="Courier New"/>
          <w:noProof/>
          <w:color w:val="008000"/>
          <w:sz w:val="20"/>
          <w:szCs w:val="20"/>
          <w:lang w:eastAsia="en-US"/>
        </w:rPr>
        <w:t>t</w:t>
      </w:r>
      <w:r>
        <w:rPr>
          <w:rFonts w:ascii="Courier New" w:eastAsiaTheme="minorHAnsi" w:hAnsi="Courier New" w:cs="Courier New"/>
          <w:noProof/>
          <w:color w:val="008000"/>
          <w:sz w:val="20"/>
          <w:szCs w:val="20"/>
          <w:lang w:eastAsia="en-US"/>
        </w:rPr>
        <w:t xml:space="preserve">rue for the second arguement).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r w:rsidR="009F1FDE">
        <w:rPr>
          <w:rFonts w:ascii="Courier New" w:eastAsiaTheme="minorHAnsi" w:hAnsi="Courier New" w:cs="Courier New"/>
          <w:noProof/>
          <w:color w:val="008000"/>
          <w:sz w:val="20"/>
          <w:szCs w:val="20"/>
          <w:lang w:eastAsia="en-US"/>
        </w:rPr>
        <w:t>26</w:t>
      </w:r>
      <w:r>
        <w:rPr>
          <w:rFonts w:ascii="Courier New" w:eastAsiaTheme="minorHAnsi" w:hAnsi="Courier New" w:cs="Courier New"/>
          <w:noProof/>
          <w:color w:val="008000"/>
          <w:sz w:val="20"/>
          <w:szCs w:val="20"/>
          <w:lang w:eastAsia="en-US"/>
        </w:rPr>
        <w:t xml:space="preserve">. We have created a new block definition (BlockTableRecord).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Here we will use that Block and add a BlockReference to modelspace.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First declare a PromptPointOptions and instantiate it with the new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keyword. For the message parameter use "Pick insertion point of BlockRef : "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r w:rsidR="009F1FDE">
        <w:rPr>
          <w:rFonts w:ascii="Courier New" w:eastAsiaTheme="minorHAnsi" w:hAnsi="Courier New" w:cs="Courier New"/>
          <w:noProof/>
          <w:color w:val="008000"/>
          <w:sz w:val="20"/>
          <w:szCs w:val="20"/>
          <w:lang w:eastAsia="en-US"/>
        </w:rPr>
        <w:t>27</w:t>
      </w:r>
      <w:r>
        <w:rPr>
          <w:rFonts w:ascii="Courier New" w:eastAsiaTheme="minorHAnsi" w:hAnsi="Courier New" w:cs="Courier New"/>
          <w:noProof/>
          <w:color w:val="008000"/>
          <w:sz w:val="20"/>
          <w:szCs w:val="20"/>
          <w:lang w:eastAsia="en-US"/>
        </w:rPr>
        <w:t xml:space="preserve">. Declare a PromptPointResult variable. Use the GetPoint method of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the Editor created in Lab2 (ed). Pass in the PromptPointOptions created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in step </w:t>
      </w:r>
      <w:r w:rsidR="009F1FDE">
        <w:rPr>
          <w:rFonts w:ascii="Courier New" w:eastAsiaTheme="minorHAnsi" w:hAnsi="Courier New" w:cs="Courier New"/>
          <w:noProof/>
          <w:color w:val="008000"/>
          <w:sz w:val="20"/>
          <w:szCs w:val="20"/>
          <w:lang w:eastAsia="en-US"/>
        </w:rPr>
        <w:t>26</w:t>
      </w:r>
      <w:r>
        <w:rPr>
          <w:rFonts w:ascii="Courier New" w:eastAsiaTheme="minorHAnsi" w:hAnsi="Courier New" w:cs="Courier New"/>
          <w:noProof/>
          <w:color w:val="008000"/>
          <w:sz w:val="20"/>
          <w:szCs w:val="20"/>
          <w:lang w:eastAsia="en-US"/>
        </w:rPr>
        <w:t xml:space="preserv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r w:rsidR="009F1FDE">
        <w:rPr>
          <w:rFonts w:ascii="Courier New" w:eastAsiaTheme="minorHAnsi" w:hAnsi="Courier New" w:cs="Courier New"/>
          <w:noProof/>
          <w:color w:val="008000"/>
          <w:sz w:val="20"/>
          <w:szCs w:val="20"/>
          <w:lang w:eastAsia="en-US"/>
        </w:rPr>
        <w:t>28</w:t>
      </w:r>
      <w:r>
        <w:rPr>
          <w:rFonts w:ascii="Courier New" w:eastAsiaTheme="minorHAnsi" w:hAnsi="Courier New" w:cs="Courier New"/>
          <w:noProof/>
          <w:color w:val="008000"/>
          <w:sz w:val="20"/>
          <w:szCs w:val="20"/>
          <w:lang w:eastAsia="en-US"/>
        </w:rPr>
        <w:t xml:space="preserve">. Create an if statement and test the Status of the PromptPointResult.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Test if it is not equal to PromptStatus.OK.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//Place the closing curly brace below step </w:t>
      </w:r>
      <w:r w:rsidR="009F1FDE">
        <w:rPr>
          <w:rFonts w:ascii="Courier New" w:eastAsiaTheme="minorHAnsi" w:hAnsi="Courier New" w:cs="Courier New"/>
          <w:noProof/>
          <w:color w:val="008000"/>
          <w:sz w:val="20"/>
          <w:szCs w:val="20"/>
          <w:lang w:eastAsia="en-US"/>
        </w:rPr>
        <w:t>30</w:t>
      </w:r>
      <w:r>
        <w:rPr>
          <w:rFonts w:ascii="Courier New" w:eastAsiaTheme="minorHAnsi" w:hAnsi="Courier New" w:cs="Courier New"/>
          <w:noProof/>
          <w:color w:val="008000"/>
          <w:sz w:val="20"/>
          <w:szCs w:val="20"/>
          <w:lang w:eastAsia="en-US"/>
        </w:rPr>
        <w:t xml:space="preserv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r w:rsidR="009F1FDE">
        <w:rPr>
          <w:rFonts w:ascii="Courier New" w:eastAsiaTheme="minorHAnsi" w:hAnsi="Courier New" w:cs="Courier New"/>
          <w:noProof/>
          <w:color w:val="008000"/>
          <w:sz w:val="20"/>
          <w:szCs w:val="20"/>
          <w:lang w:eastAsia="en-US"/>
        </w:rPr>
        <w:t>29</w:t>
      </w:r>
      <w:r>
        <w:rPr>
          <w:rFonts w:ascii="Courier New" w:eastAsiaTheme="minorHAnsi" w:hAnsi="Courier New" w:cs="Courier New"/>
          <w:noProof/>
          <w:color w:val="008000"/>
          <w:sz w:val="20"/>
          <w:szCs w:val="20"/>
          <w:lang w:eastAsia="en-US"/>
        </w:rPr>
        <w:t xml:space="preserve">. If we got here then the GetPoint failed. Call the dispose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method of the Transaction created in step 11.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r w:rsidR="009F1FDE">
        <w:rPr>
          <w:rFonts w:ascii="Courier New" w:eastAsiaTheme="minorHAnsi" w:hAnsi="Courier New" w:cs="Courier New"/>
          <w:noProof/>
          <w:color w:val="008000"/>
          <w:sz w:val="20"/>
          <w:szCs w:val="20"/>
          <w:lang w:eastAsia="en-US"/>
        </w:rPr>
        <w:t>30</w:t>
      </w:r>
      <w:r>
        <w:rPr>
          <w:rFonts w:ascii="Courier New" w:eastAsiaTheme="minorHAnsi" w:hAnsi="Courier New" w:cs="Courier New"/>
          <w:noProof/>
          <w:color w:val="008000"/>
          <w:sz w:val="20"/>
          <w:szCs w:val="20"/>
          <w:lang w:eastAsia="en-US"/>
        </w:rPr>
        <w:t xml:space="preserve">. return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r w:rsidR="009F1FDE">
        <w:rPr>
          <w:rFonts w:ascii="Courier New" w:eastAsiaTheme="minorHAnsi" w:hAnsi="Courier New" w:cs="Courier New"/>
          <w:noProof/>
          <w:color w:val="008000"/>
          <w:sz w:val="20"/>
          <w:szCs w:val="20"/>
          <w:lang w:eastAsia="en-US"/>
        </w:rPr>
        <w:t>31</w:t>
      </w:r>
      <w:r>
        <w:rPr>
          <w:rFonts w:ascii="Courier New" w:eastAsiaTheme="minorHAnsi" w:hAnsi="Courier New" w:cs="Courier New"/>
          <w:noProof/>
          <w:color w:val="008000"/>
          <w:sz w:val="20"/>
          <w:szCs w:val="20"/>
          <w:lang w:eastAsia="en-US"/>
        </w:rPr>
        <w:t xml:space="preserve">. Declare a BlockReference variable. Instatiate it with the new keyword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Use the Value method of the PromptPointResult for the Position argument. (point3d)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lastRenderedPageBreak/>
        <w:t xml:space="preserve">// Use the ObjectId property of the BlockTableRecord created in Step 14 for the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Second parameter.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r w:rsidR="009F1FDE">
        <w:rPr>
          <w:rFonts w:ascii="Courier New" w:eastAsiaTheme="minorHAnsi" w:hAnsi="Courier New" w:cs="Courier New"/>
          <w:noProof/>
          <w:color w:val="008000"/>
          <w:sz w:val="20"/>
          <w:szCs w:val="20"/>
          <w:lang w:eastAsia="en-US"/>
        </w:rPr>
        <w:t>32</w:t>
      </w:r>
      <w:r>
        <w:rPr>
          <w:rFonts w:ascii="Courier New" w:eastAsiaTheme="minorHAnsi" w:hAnsi="Courier New" w:cs="Courier New"/>
          <w:noProof/>
          <w:color w:val="008000"/>
          <w:sz w:val="20"/>
          <w:szCs w:val="20"/>
          <w:lang w:eastAsia="en-US"/>
        </w:rPr>
        <w:t xml:space="preserve">. Get the current space. (either ModelSpace or PaperSpace).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Declare a BlockTableRecord variable</w:t>
      </w:r>
      <w:r w:rsidR="00741D4A">
        <w:rPr>
          <w:rFonts w:ascii="Courier New" w:eastAsiaTheme="minorHAnsi" w:hAnsi="Courier New" w:cs="Courier New"/>
          <w:noProof/>
          <w:color w:val="008000"/>
          <w:sz w:val="20"/>
          <w:szCs w:val="20"/>
          <w:lang w:eastAsia="en-US"/>
        </w:rPr>
        <w:t>,</w:t>
      </w:r>
      <w:r>
        <w:rPr>
          <w:rFonts w:ascii="Courier New" w:eastAsiaTheme="minorHAnsi" w:hAnsi="Courier New" w:cs="Courier New"/>
          <w:noProof/>
          <w:color w:val="008000"/>
          <w:sz w:val="20"/>
          <w:szCs w:val="20"/>
          <w:lang w:eastAsia="en-US"/>
        </w:rPr>
        <w:t xml:space="preserve"> instantiate it using the GetObject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method of the Transaction created in step 12. Use the CurrentSpaceId property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of the Database created in step 11. Open it for write. (OpenMode.ForWrite)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r w:rsidR="009F1FDE">
        <w:rPr>
          <w:rFonts w:ascii="Courier New" w:eastAsiaTheme="minorHAnsi" w:hAnsi="Courier New" w:cs="Courier New"/>
          <w:noProof/>
          <w:color w:val="008000"/>
          <w:sz w:val="20"/>
          <w:szCs w:val="20"/>
          <w:lang w:eastAsia="en-US"/>
        </w:rPr>
        <w:t>33</w:t>
      </w:r>
      <w:r>
        <w:rPr>
          <w:rFonts w:ascii="Courier New" w:eastAsiaTheme="minorHAnsi" w:hAnsi="Courier New" w:cs="Courier New"/>
          <w:noProof/>
          <w:color w:val="008000"/>
          <w:sz w:val="20"/>
          <w:szCs w:val="20"/>
          <w:lang w:eastAsia="en-US"/>
        </w:rPr>
        <w:t xml:space="preserve">. Use the AppendEntity method of the BlockTableRecord created in step </w:t>
      </w:r>
      <w:r w:rsidR="009F1FDE">
        <w:rPr>
          <w:rFonts w:ascii="Courier New" w:eastAsiaTheme="minorHAnsi" w:hAnsi="Courier New" w:cs="Courier New"/>
          <w:noProof/>
          <w:color w:val="008000"/>
          <w:sz w:val="20"/>
          <w:szCs w:val="20"/>
          <w:lang w:eastAsia="en-US"/>
        </w:rPr>
        <w:t xml:space="preserve">32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and pass in the BlockReference created in step </w:t>
      </w:r>
      <w:r w:rsidR="009F1FDE">
        <w:rPr>
          <w:rFonts w:ascii="Courier New" w:eastAsiaTheme="minorHAnsi" w:hAnsi="Courier New" w:cs="Courier New"/>
          <w:noProof/>
          <w:color w:val="008000"/>
          <w:sz w:val="20"/>
          <w:szCs w:val="20"/>
          <w:lang w:eastAsia="en-US"/>
        </w:rPr>
        <w:t>31</w:t>
      </w:r>
      <w:r>
        <w:rPr>
          <w:rFonts w:ascii="Courier New" w:eastAsiaTheme="minorHAnsi" w:hAnsi="Courier New" w:cs="Courier New"/>
          <w:noProof/>
          <w:color w:val="008000"/>
          <w:sz w:val="20"/>
          <w:szCs w:val="20"/>
          <w:lang w:eastAsia="en-US"/>
        </w:rPr>
        <w:t xml:space="preserv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r w:rsidR="009F1FDE">
        <w:rPr>
          <w:rFonts w:ascii="Courier New" w:eastAsiaTheme="minorHAnsi" w:hAnsi="Courier New" w:cs="Courier New"/>
          <w:noProof/>
          <w:color w:val="008000"/>
          <w:sz w:val="20"/>
          <w:szCs w:val="20"/>
          <w:lang w:eastAsia="en-US"/>
        </w:rPr>
        <w:t>34</w:t>
      </w:r>
      <w:r>
        <w:rPr>
          <w:rFonts w:ascii="Courier New" w:eastAsiaTheme="minorHAnsi" w:hAnsi="Courier New" w:cs="Courier New"/>
          <w:noProof/>
          <w:color w:val="008000"/>
          <w:sz w:val="20"/>
          <w:szCs w:val="20"/>
          <w:lang w:eastAsia="en-US"/>
        </w:rPr>
        <w:t xml:space="preserve">. Tell the transaction about the new block reference so that the transaction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can autoclose it. Use the AddNewlyCreatedDBObject of the Transaction created in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step 12. Pass in the BlockReference. Use </w:t>
      </w:r>
      <w:r w:rsidR="00741D4A">
        <w:rPr>
          <w:rFonts w:ascii="Courier New" w:eastAsiaTheme="minorHAnsi" w:hAnsi="Courier New" w:cs="Courier New"/>
          <w:noProof/>
          <w:color w:val="008000"/>
          <w:sz w:val="20"/>
          <w:szCs w:val="20"/>
          <w:lang w:eastAsia="en-US"/>
        </w:rPr>
        <w:t>t</w:t>
      </w:r>
      <w:r>
        <w:rPr>
          <w:rFonts w:ascii="Courier New" w:eastAsiaTheme="minorHAnsi" w:hAnsi="Courier New" w:cs="Courier New"/>
          <w:noProof/>
          <w:color w:val="008000"/>
          <w:sz w:val="20"/>
          <w:szCs w:val="20"/>
          <w:lang w:eastAsia="en-US"/>
        </w:rPr>
        <w:t xml:space="preserve">rue for the second parameter.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r w:rsidR="009F1FDE">
        <w:rPr>
          <w:rFonts w:ascii="Courier New" w:eastAsiaTheme="minorHAnsi" w:hAnsi="Courier New" w:cs="Courier New"/>
          <w:noProof/>
          <w:color w:val="008000"/>
          <w:sz w:val="20"/>
          <w:szCs w:val="20"/>
          <w:lang w:eastAsia="en-US"/>
        </w:rPr>
        <w:t>35</w:t>
      </w:r>
      <w:r>
        <w:rPr>
          <w:rFonts w:ascii="Courier New" w:eastAsiaTheme="minorHAnsi" w:hAnsi="Courier New" w:cs="Courier New"/>
          <w:noProof/>
          <w:color w:val="008000"/>
          <w:sz w:val="20"/>
          <w:szCs w:val="20"/>
          <w:lang w:eastAsia="en-US"/>
        </w:rPr>
        <w:t xml:space="preserve">. If the code makes it here then all is ok. Commit the transaction by calling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the Commit method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r w:rsidR="009F1FDE">
        <w:rPr>
          <w:rFonts w:ascii="Courier New" w:eastAsiaTheme="minorHAnsi" w:hAnsi="Courier New" w:cs="Courier New"/>
          <w:noProof/>
          <w:color w:val="008000"/>
          <w:sz w:val="20"/>
          <w:szCs w:val="20"/>
          <w:lang w:eastAsia="en-US"/>
        </w:rPr>
        <w:t>36</w:t>
      </w:r>
      <w:r>
        <w:rPr>
          <w:rFonts w:ascii="Courier New" w:eastAsiaTheme="minorHAnsi" w:hAnsi="Courier New" w:cs="Courier New"/>
          <w:noProof/>
          <w:color w:val="008000"/>
          <w:sz w:val="20"/>
          <w:szCs w:val="20"/>
          <w:lang w:eastAsia="en-US"/>
        </w:rPr>
        <w:t xml:space="preserve">. Declare an Exception variable for the Catch.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(add "(Exception ex)" to the catch keyword)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Use the WriteMessage of the Editor variable (ed) created in Lab2.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Use "a problem occured because " + ex.Message for the Message parameter.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If an error occurs the details of the problem will be printed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on the AutoCAD command line.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w:t>
      </w:r>
      <w:r w:rsidR="009F1FDE">
        <w:rPr>
          <w:rFonts w:ascii="Courier New" w:eastAsiaTheme="minorHAnsi" w:hAnsi="Courier New" w:cs="Courier New"/>
          <w:noProof/>
          <w:color w:val="008000"/>
          <w:sz w:val="20"/>
          <w:szCs w:val="20"/>
          <w:lang w:eastAsia="en-US"/>
        </w:rPr>
        <w:t>37</w:t>
      </w:r>
      <w:r>
        <w:rPr>
          <w:rFonts w:ascii="Courier New" w:eastAsiaTheme="minorHAnsi" w:hAnsi="Courier New" w:cs="Courier New"/>
          <w:noProof/>
          <w:color w:val="008000"/>
          <w:sz w:val="20"/>
          <w:szCs w:val="20"/>
          <w:lang w:eastAsia="en-US"/>
        </w:rPr>
        <w:t xml:space="preserve">. Dispose the transaction by calling the Dispose method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xml:space="preserve">// of the Transaction created in step 12. This will be called </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whether an error on not occurred.  This is the end of Lab3.</w:t>
      </w:r>
    </w:p>
    <w:p w:rsidR="009064AE" w:rsidRDefault="009064AE" w:rsidP="009064AE">
      <w:pPr>
        <w:autoSpaceDE w:val="0"/>
        <w:autoSpaceDN w:val="0"/>
        <w:adjustRightInd w:val="0"/>
        <w:rPr>
          <w:rFonts w:ascii="Courier New" w:eastAsiaTheme="minorHAnsi" w:hAnsi="Courier New" w:cs="Courier New"/>
          <w:noProof/>
          <w:color w:val="008000"/>
          <w:sz w:val="20"/>
          <w:szCs w:val="20"/>
          <w:lang w:eastAsia="en-US"/>
        </w:rPr>
      </w:pPr>
      <w:r>
        <w:rPr>
          <w:rFonts w:ascii="Courier New" w:eastAsiaTheme="minorHAnsi" w:hAnsi="Courier New" w:cs="Courier New"/>
          <w:noProof/>
          <w:color w:val="008000"/>
          <w:sz w:val="20"/>
          <w:szCs w:val="20"/>
          <w:lang w:eastAsia="en-US"/>
        </w:rPr>
        <w:t>// Build and debug by loading in AutoCAD. (use NETLOAD) and run</w:t>
      </w:r>
    </w:p>
    <w:p w:rsidR="009064AE" w:rsidRDefault="009064AE" w:rsidP="009064AE">
      <w:r>
        <w:rPr>
          <w:rFonts w:ascii="Courier New" w:eastAsiaTheme="minorHAnsi" w:hAnsi="Courier New" w:cs="Courier New"/>
          <w:noProof/>
          <w:color w:val="008000"/>
          <w:sz w:val="20"/>
          <w:szCs w:val="20"/>
          <w:lang w:eastAsia="en-US"/>
        </w:rPr>
        <w:t>// the addAnEnt command.</w:t>
      </w:r>
    </w:p>
    <w:p w:rsidR="00F95121" w:rsidRDefault="00F95121" w:rsidP="00F95121"/>
    <w:p w:rsidR="00AB3A27" w:rsidRPr="000B28F5" w:rsidRDefault="00AB3A27" w:rsidP="00AB3A27">
      <w:pPr>
        <w:pStyle w:val="Heading3"/>
      </w:pPr>
      <w:r w:rsidRPr="000B28F5">
        <w:t>Transactions, Exception Handling</w:t>
      </w:r>
      <w:r>
        <w:t xml:space="preserve"> and the using keyword</w:t>
      </w:r>
    </w:p>
    <w:p w:rsidR="00AB3A27" w:rsidRPr="000B28F5" w:rsidRDefault="00AB3A27" w:rsidP="00AB3A27">
      <w:pPr>
        <w:ind w:right="-1800"/>
        <w:rPr>
          <w:rFonts w:ascii="Arial" w:hAnsi="Arial" w:cs="Arial"/>
          <w:sz w:val="20"/>
          <w:szCs w:val="20"/>
        </w:rPr>
      </w:pPr>
    </w:p>
    <w:p w:rsidR="00AB3A27" w:rsidRPr="000B28F5" w:rsidRDefault="00AB3A27" w:rsidP="00AB3A27">
      <w:r>
        <w:t>Notice that t</w:t>
      </w:r>
      <w:r w:rsidRPr="000B28F5">
        <w:t xml:space="preserve">he </w:t>
      </w:r>
      <w:r>
        <w:t xml:space="preserve">transaction is disposed of </w:t>
      </w:r>
      <w:r w:rsidRPr="000B28F5">
        <w:t xml:space="preserve">in the finally block. The reason </w:t>
      </w:r>
      <w:r>
        <w:t xml:space="preserve">we call it in the finally block </w:t>
      </w:r>
      <w:r w:rsidRPr="000B28F5">
        <w:t xml:space="preserve">is that if </w:t>
      </w:r>
      <w:proofErr w:type="gramStart"/>
      <w:r w:rsidRPr="000B28F5">
        <w:t>Dispose(</w:t>
      </w:r>
      <w:proofErr w:type="gramEnd"/>
      <w:r w:rsidRPr="000B28F5">
        <w:t xml:space="preserve">) is called on the transaction </w:t>
      </w:r>
      <w:r w:rsidRPr="000B28F5">
        <w:rPr>
          <w:i/>
        </w:rPr>
        <w:t>before</w:t>
      </w:r>
      <w:r w:rsidRPr="000B28F5">
        <w:t xml:space="preserve"> Commit(), the transaction is aborted.  The assumption is made that any error condition that will </w:t>
      </w:r>
      <w:r w:rsidRPr="000B28F5">
        <w:rPr>
          <w:i/>
        </w:rPr>
        <w:t xml:space="preserve">throw </w:t>
      </w:r>
      <w:r w:rsidRPr="000B28F5">
        <w:t xml:space="preserve">before </w:t>
      </w:r>
      <w:proofErr w:type="spellStart"/>
      <w:proofErr w:type="gramStart"/>
      <w:r w:rsidRPr="000B28F5">
        <w:t>trans.Commit</w:t>
      </w:r>
      <w:proofErr w:type="spellEnd"/>
      <w:r w:rsidRPr="000B28F5">
        <w:t>(</w:t>
      </w:r>
      <w:proofErr w:type="gramEnd"/>
      <w:r w:rsidRPr="000B28F5">
        <w:t xml:space="preserve">) should abort the transaction (since Commit would have never been called).  If </w:t>
      </w:r>
      <w:proofErr w:type="gramStart"/>
      <w:r w:rsidRPr="000B28F5">
        <w:t>Commit(</w:t>
      </w:r>
      <w:proofErr w:type="gramEnd"/>
      <w:r w:rsidRPr="000B28F5">
        <w:t>) is called before Dispose(), as is the case when nothing is thrown, the transaction changes are committed to the database.</w:t>
      </w:r>
      <w:r>
        <w:t xml:space="preserve"> T</w:t>
      </w:r>
      <w:r w:rsidRPr="000B28F5">
        <w:t xml:space="preserve">he Catch block is </w:t>
      </w:r>
      <w:r>
        <w:t xml:space="preserve">useful </w:t>
      </w:r>
      <w:r w:rsidRPr="000B28F5">
        <w:t>for no</w:t>
      </w:r>
      <w:r>
        <w:t xml:space="preserve">tifying the user of a problem. </w:t>
      </w:r>
    </w:p>
    <w:p w:rsidR="00AB3A27" w:rsidRDefault="00AB3A27" w:rsidP="00AB3A27">
      <w:pPr>
        <w:ind w:right="-1800"/>
        <w:rPr>
          <w:rFonts w:ascii="Arial" w:hAnsi="Arial" w:cs="Arial"/>
          <w:sz w:val="20"/>
          <w:szCs w:val="20"/>
        </w:rPr>
      </w:pPr>
    </w:p>
    <w:p w:rsidR="00AB3A27" w:rsidRPr="008D4ADF" w:rsidRDefault="00AB3A27" w:rsidP="00AB3A27">
      <w:r w:rsidRPr="008D4ADF">
        <w:t xml:space="preserve">Note:  The structure of the Try-Catch-Finally block in relation to the transaction objects in the .NET API should be of interest to the keen observer. The fact that we are instantiating objects within the Try block, but never explicitly Dispose() of them, even when an exception occurs may seem troubling, especially if the observer notes that we are actually wrapping unmanaged objects! Remember, however that the </w:t>
      </w:r>
      <w:proofErr w:type="spellStart"/>
      <w:r w:rsidRPr="008D4ADF">
        <w:t>garbagecollection</w:t>
      </w:r>
      <w:proofErr w:type="spellEnd"/>
      <w:r w:rsidRPr="008D4ADF">
        <w:t xml:space="preserve"> mechanism will take care of our </w:t>
      </w:r>
      <w:r w:rsidRPr="008D4ADF">
        <w:lastRenderedPageBreak/>
        <w:t xml:space="preserve">memory allocation when resources become strained.  This mechanism in-turn calls </w:t>
      </w:r>
      <w:proofErr w:type="gramStart"/>
      <w:r w:rsidRPr="008D4ADF">
        <w:t>Dispose(</w:t>
      </w:r>
      <w:proofErr w:type="gramEnd"/>
      <w:r w:rsidRPr="008D4ADF">
        <w:t>) on the wrapper, deleting our unmanaged object under the hood.</w:t>
      </w:r>
    </w:p>
    <w:p w:rsidR="00AB3A27" w:rsidRPr="008D4ADF" w:rsidRDefault="00AB3A27" w:rsidP="00AB3A27">
      <w:pPr>
        <w:ind w:right="-1800"/>
      </w:pPr>
    </w:p>
    <w:p w:rsidR="00AB3A27" w:rsidRPr="008D4ADF" w:rsidRDefault="00AB3A27" w:rsidP="00AB3A27">
      <w:r w:rsidRPr="008D4ADF">
        <w:t xml:space="preserve">It is important to note here that </w:t>
      </w:r>
      <w:proofErr w:type="gramStart"/>
      <w:r w:rsidRPr="008D4ADF">
        <w:t>Dispose(</w:t>
      </w:r>
      <w:proofErr w:type="gramEnd"/>
      <w:r w:rsidRPr="008D4ADF">
        <w:t xml:space="preserve">) behaves differently with the wrapped unmanaged object depending on whether the object is database-resident or not. </w:t>
      </w:r>
      <w:proofErr w:type="gramStart"/>
      <w:r w:rsidRPr="008D4ADF">
        <w:t>Dispose(</w:t>
      </w:r>
      <w:proofErr w:type="gramEnd"/>
      <w:r w:rsidRPr="008D4ADF">
        <w:t>) called on a non-database resident object will call delete on the unmanaged object, while Dispose() called on a database-resident object will simply call close().</w:t>
      </w:r>
    </w:p>
    <w:p w:rsidR="00AB3A27" w:rsidRPr="000B28F5" w:rsidRDefault="00AB3A27" w:rsidP="00AB3A27">
      <w:pPr>
        <w:ind w:right="-1800"/>
        <w:rPr>
          <w:rFonts w:ascii="Arial" w:hAnsi="Arial" w:cs="Arial"/>
          <w:sz w:val="20"/>
          <w:szCs w:val="20"/>
        </w:rPr>
      </w:pPr>
    </w:p>
    <w:p w:rsidR="00AB3A27" w:rsidRPr="000B28F5" w:rsidRDefault="00AB3A27" w:rsidP="00AB3A27">
      <w:pPr>
        <w:pStyle w:val="Heading3"/>
      </w:pPr>
      <w:bookmarkStart w:id="1" w:name="_Toc132180400"/>
      <w:bookmarkStart w:id="2" w:name="_Toc132185814"/>
      <w:r w:rsidRPr="000B28F5">
        <w:t>Using Keyword</w:t>
      </w:r>
      <w:bookmarkEnd w:id="1"/>
      <w:bookmarkEnd w:id="2"/>
    </w:p>
    <w:p w:rsidR="00AB3A27" w:rsidRPr="000B28F5" w:rsidRDefault="00AB3A27" w:rsidP="00AB3A27">
      <w:pPr>
        <w:autoSpaceDE w:val="0"/>
        <w:autoSpaceDN w:val="0"/>
        <w:adjustRightInd w:val="0"/>
        <w:ind w:right="-1800"/>
        <w:rPr>
          <w:rFonts w:ascii="Arial" w:hAnsi="Arial" w:cs="Arial"/>
          <w:sz w:val="20"/>
          <w:szCs w:val="20"/>
        </w:rPr>
      </w:pPr>
    </w:p>
    <w:p w:rsidR="00AB3A27" w:rsidRPr="000B28F5" w:rsidRDefault="00AB3A27" w:rsidP="00AB3A27">
      <w:r w:rsidRPr="000B28F5">
        <w:t xml:space="preserve">Beginning with Visual Studio 2005, Visual Basic includes the </w:t>
      </w:r>
      <w:r w:rsidRPr="000B28F5">
        <w:rPr>
          <w:b/>
          <w:i/>
        </w:rPr>
        <w:t>Using</w:t>
      </w:r>
      <w:r w:rsidRPr="000B28F5">
        <w:t xml:space="preserve"> keyword which wraps an object implementing </w:t>
      </w:r>
      <w:proofErr w:type="spellStart"/>
      <w:r w:rsidRPr="000B28F5">
        <w:t>IDisposable</w:t>
      </w:r>
      <w:proofErr w:type="spellEnd"/>
      <w:r w:rsidRPr="000B28F5">
        <w:t xml:space="preserve"> for automatic disposal.  Objects which you would normally call ‘dispose’ on can be automatically handled with this keyword.  Using the ‘Using’ keyword with transactions then makes a tremendous amount of sense, as it makes </w:t>
      </w:r>
      <w:r>
        <w:t>your</w:t>
      </w:r>
      <w:r w:rsidRPr="000B28F5">
        <w:t xml:space="preserve"> code much more compact.  </w:t>
      </w:r>
    </w:p>
    <w:p w:rsidR="00B204FD" w:rsidRPr="000B28F5" w:rsidRDefault="00B204FD" w:rsidP="00B204FD">
      <w:pPr>
        <w:autoSpaceDE w:val="0"/>
        <w:autoSpaceDN w:val="0"/>
        <w:adjustRightInd w:val="0"/>
        <w:ind w:right="-1797"/>
        <w:rPr>
          <w:rFonts w:ascii="Arial" w:hAnsi="Arial" w:cs="Arial"/>
          <w:sz w:val="20"/>
          <w:szCs w:val="20"/>
        </w:rPr>
      </w:pPr>
    </w:p>
    <w:p w:rsidR="00837FBD" w:rsidRDefault="00837FBD"/>
    <w:p w:rsidR="00B82DC3" w:rsidRDefault="00B82DC3"/>
    <w:p w:rsidR="00B82DC3" w:rsidRDefault="00B82DC3"/>
    <w:sectPr w:rsidR="00B82DC3" w:rsidSect="00FF75A9">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976BD9"/>
    <w:multiLevelType w:val="hybridMultilevel"/>
    <w:tmpl w:val="340ABDD6"/>
    <w:lvl w:ilvl="0" w:tplc="20E44DC6">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trackRevisions/>
  <w:defaultTabStop w:val="720"/>
  <w:drawingGridHorizontalSpacing w:val="120"/>
  <w:displayHorizontalDrawingGridEvery w:val="2"/>
  <w:characterSpacingControl w:val="doNotCompress"/>
  <w:compat/>
  <w:rsids>
    <w:rsidRoot w:val="00B204FD"/>
    <w:rsid w:val="000433AB"/>
    <w:rsid w:val="000F663C"/>
    <w:rsid w:val="002E3FBA"/>
    <w:rsid w:val="0032374E"/>
    <w:rsid w:val="0032742E"/>
    <w:rsid w:val="003545B7"/>
    <w:rsid w:val="003E76ED"/>
    <w:rsid w:val="00403C76"/>
    <w:rsid w:val="004E6A89"/>
    <w:rsid w:val="00666618"/>
    <w:rsid w:val="00741D4A"/>
    <w:rsid w:val="0075537C"/>
    <w:rsid w:val="007C063E"/>
    <w:rsid w:val="007E6148"/>
    <w:rsid w:val="00837FBD"/>
    <w:rsid w:val="009064AE"/>
    <w:rsid w:val="009F1FDE"/>
    <w:rsid w:val="00A03822"/>
    <w:rsid w:val="00AB3A27"/>
    <w:rsid w:val="00AD6FF2"/>
    <w:rsid w:val="00B204FD"/>
    <w:rsid w:val="00B653DF"/>
    <w:rsid w:val="00B82DC3"/>
    <w:rsid w:val="00C643F3"/>
    <w:rsid w:val="00DC4B25"/>
    <w:rsid w:val="00F76765"/>
    <w:rsid w:val="00F95121"/>
    <w:rsid w:val="00FF75A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4FD"/>
    <w:pPr>
      <w:spacing w:after="0" w:line="240" w:lineRule="auto"/>
    </w:pPr>
    <w:rPr>
      <w:rFonts w:ascii="Times New Roman" w:eastAsia="MS Mincho" w:hAnsi="Times New Roman" w:cs="Times New Roman"/>
      <w:sz w:val="24"/>
      <w:szCs w:val="24"/>
      <w:lang w:eastAsia="ja-JP"/>
    </w:rPr>
  </w:style>
  <w:style w:type="paragraph" w:styleId="Heading1">
    <w:name w:val="heading 1"/>
    <w:basedOn w:val="Normal"/>
    <w:next w:val="Normal"/>
    <w:link w:val="Heading1Char"/>
    <w:uiPriority w:val="9"/>
    <w:qFormat/>
    <w:rsid w:val="004E6A8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E6A8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B3A2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mailStyle15">
    <w:name w:val="EmailStyle151"/>
    <w:aliases w:val="EmailStyle151"/>
    <w:basedOn w:val="DefaultParagraphFont"/>
    <w:semiHidden/>
    <w:personal/>
    <w:personalCompose/>
    <w:rsid w:val="00B204FD"/>
    <w:rPr>
      <w:rFonts w:ascii="Arial" w:hAnsi="Arial" w:cs="Arial"/>
      <w:color w:val="auto"/>
      <w:sz w:val="20"/>
      <w:szCs w:val="20"/>
    </w:rPr>
  </w:style>
  <w:style w:type="paragraph" w:styleId="BalloonText">
    <w:name w:val="Balloon Text"/>
    <w:basedOn w:val="Normal"/>
    <w:link w:val="BalloonTextChar"/>
    <w:uiPriority w:val="99"/>
    <w:semiHidden/>
    <w:unhideWhenUsed/>
    <w:rsid w:val="00B204FD"/>
    <w:rPr>
      <w:rFonts w:ascii="Tahoma" w:hAnsi="Tahoma" w:cs="Tahoma"/>
      <w:sz w:val="16"/>
      <w:szCs w:val="16"/>
    </w:rPr>
  </w:style>
  <w:style w:type="character" w:customStyle="1" w:styleId="BalloonTextChar">
    <w:name w:val="Balloon Text Char"/>
    <w:basedOn w:val="DefaultParagraphFont"/>
    <w:link w:val="BalloonText"/>
    <w:uiPriority w:val="99"/>
    <w:semiHidden/>
    <w:rsid w:val="00B204FD"/>
    <w:rPr>
      <w:rFonts w:ascii="Tahoma" w:eastAsia="MS Mincho" w:hAnsi="Tahoma" w:cs="Tahoma"/>
      <w:sz w:val="16"/>
      <w:szCs w:val="16"/>
      <w:lang w:eastAsia="ja-JP"/>
    </w:rPr>
  </w:style>
  <w:style w:type="character" w:customStyle="1" w:styleId="Heading1Char">
    <w:name w:val="Heading 1 Char"/>
    <w:basedOn w:val="DefaultParagraphFont"/>
    <w:link w:val="Heading1"/>
    <w:uiPriority w:val="9"/>
    <w:rsid w:val="004E6A89"/>
    <w:rPr>
      <w:rFonts w:asciiTheme="majorHAnsi" w:eastAsiaTheme="majorEastAsia" w:hAnsiTheme="majorHAnsi" w:cstheme="majorBidi"/>
      <w:b/>
      <w:bCs/>
      <w:color w:val="365F91" w:themeColor="accent1" w:themeShade="BF"/>
      <w:sz w:val="28"/>
      <w:szCs w:val="28"/>
      <w:lang w:eastAsia="ja-JP"/>
    </w:rPr>
  </w:style>
  <w:style w:type="character" w:customStyle="1" w:styleId="Heading2Char">
    <w:name w:val="Heading 2 Char"/>
    <w:basedOn w:val="DefaultParagraphFont"/>
    <w:link w:val="Heading2"/>
    <w:uiPriority w:val="9"/>
    <w:rsid w:val="004E6A89"/>
    <w:rPr>
      <w:rFonts w:asciiTheme="majorHAnsi" w:eastAsiaTheme="majorEastAsia" w:hAnsiTheme="majorHAnsi" w:cstheme="majorBidi"/>
      <w:b/>
      <w:bCs/>
      <w:color w:val="4F81BD" w:themeColor="accent1"/>
      <w:sz w:val="26"/>
      <w:szCs w:val="26"/>
      <w:lang w:eastAsia="ja-JP"/>
    </w:rPr>
  </w:style>
  <w:style w:type="character" w:customStyle="1" w:styleId="Heading3Char">
    <w:name w:val="Heading 3 Char"/>
    <w:basedOn w:val="DefaultParagraphFont"/>
    <w:link w:val="Heading3"/>
    <w:uiPriority w:val="9"/>
    <w:rsid w:val="00AB3A27"/>
    <w:rPr>
      <w:rFonts w:asciiTheme="majorHAnsi" w:eastAsiaTheme="majorEastAsia" w:hAnsiTheme="majorHAnsi" w:cstheme="majorBidi"/>
      <w:b/>
      <w:bCs/>
      <w:color w:val="4F81BD" w:themeColor="accent1"/>
      <w:sz w:val="24"/>
      <w:szCs w:val="24"/>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1625</Words>
  <Characters>9263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Autodesk, Inc.</Company>
  <LinksUpToDate>false</LinksUpToDate>
  <CharactersWithSpaces>10867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Wayne Brill</dc:creator>
  <cp:keywords/>
  <dc:description/>
  <cp:lastModifiedBy>Wayne Brill</cp:lastModifiedBy>
  <cp:revision>2</cp:revision>
  <dcterms:created xsi:type="dcterms:W3CDTF">2010-05-11T19:54:00Z</dcterms:created>
  <dcterms:modified xsi:type="dcterms:W3CDTF">2010-05-11T19:54:00Z</dcterms:modified>
</cp:coreProperties>
</file>