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4A7" w:rsidRDefault="009F04A7" w:rsidP="009F04A7">
      <w:pPr>
        <w:pStyle w:val="Heading1"/>
      </w:pPr>
      <w:bookmarkStart w:id="0" w:name="_Toc132185804"/>
      <w:r>
        <w:t>Lab</w:t>
      </w:r>
      <w:r w:rsidRPr="000B28F5">
        <w:t xml:space="preserve"> </w:t>
      </w:r>
      <w:r>
        <w:t>6</w:t>
      </w:r>
      <w:r w:rsidRPr="000B28F5">
        <w:t xml:space="preserve"> – </w:t>
      </w:r>
      <w:bookmarkEnd w:id="0"/>
      <w:proofErr w:type="spellStart"/>
      <w:r w:rsidR="00CC5623">
        <w:t>PointMonitor</w:t>
      </w:r>
      <w:proofErr w:type="spellEnd"/>
      <w:r w:rsidR="00CC5623">
        <w:t xml:space="preserve"> </w:t>
      </w:r>
    </w:p>
    <w:p w:rsidR="00231214" w:rsidRDefault="00231214" w:rsidP="00231214"/>
    <w:p w:rsidR="009B4969" w:rsidRDefault="009B4969" w:rsidP="00231214">
      <w:pPr>
        <w:rPr>
          <w:rFonts w:ascii="Courier New" w:eastAsiaTheme="minorHAnsi" w:hAnsi="Courier New" w:cs="Courier New"/>
          <w:noProof/>
          <w:lang w:eastAsia="en-US"/>
        </w:rPr>
      </w:pPr>
    </w:p>
    <w:p w:rsidR="00C315A2" w:rsidRDefault="009F04A7" w:rsidP="00C315A2">
      <w:r>
        <w:t>The steps for this lab are in two commands</w:t>
      </w:r>
      <w:r w:rsidR="00872476">
        <w:t xml:space="preserve"> and </w:t>
      </w:r>
      <w:r w:rsidR="00C315A2">
        <w:t>two</w:t>
      </w:r>
      <w:r w:rsidR="00872476">
        <w:t xml:space="preserve"> </w:t>
      </w:r>
      <w:r w:rsidR="00D6063F">
        <w:t>functions</w:t>
      </w:r>
      <w:r>
        <w:t xml:space="preserve">. </w:t>
      </w:r>
      <w:r w:rsidR="00872476">
        <w:t>One of the commands</w:t>
      </w:r>
      <w:r w:rsidR="00C315A2">
        <w:t xml:space="preserve"> and one of the </w:t>
      </w:r>
      <w:r w:rsidR="00D6063F">
        <w:t>functions</w:t>
      </w:r>
      <w:r w:rsidR="00872476">
        <w:t xml:space="preserve"> </w:t>
      </w:r>
      <w:r w:rsidR="00C315A2">
        <w:t>are</w:t>
      </w:r>
      <w:r w:rsidR="00872476">
        <w:t xml:space="preserve"> created </w:t>
      </w:r>
      <w:r w:rsidR="00CC5623">
        <w:t xml:space="preserve">using </w:t>
      </w:r>
      <w:r w:rsidR="00517D0C">
        <w:t xml:space="preserve">the </w:t>
      </w:r>
      <w:r w:rsidR="00CC5623">
        <w:t>steps in</w:t>
      </w:r>
      <w:r w:rsidR="00872476">
        <w:t xml:space="preserve"> th</w:t>
      </w:r>
      <w:r w:rsidR="00CC5623">
        <w:t>e</w:t>
      </w:r>
      <w:r w:rsidR="00872476">
        <w:t xml:space="preserve"> lab. </w:t>
      </w:r>
      <w:r>
        <w:t xml:space="preserve">The </w:t>
      </w:r>
      <w:r w:rsidR="00C315A2">
        <w:t xml:space="preserve">other command and </w:t>
      </w:r>
      <w:r w:rsidR="00D6063F">
        <w:t>function</w:t>
      </w:r>
      <w:r w:rsidR="00C315A2">
        <w:t xml:space="preserve"> </w:t>
      </w:r>
      <w:r>
        <w:t xml:space="preserve">already </w:t>
      </w:r>
      <w:r w:rsidR="00C315A2">
        <w:t>exist and are not part of the lab steps.</w:t>
      </w:r>
      <w:r>
        <w:t xml:space="preserve"> </w:t>
      </w:r>
      <w:r w:rsidR="00C315A2">
        <w:t>(</w:t>
      </w:r>
      <w:r w:rsidR="00790CDC">
        <w:t>T</w:t>
      </w:r>
      <w:r w:rsidR="00C315A2">
        <w:t xml:space="preserve">hese </w:t>
      </w:r>
      <w:r>
        <w:t xml:space="preserve">steps have </w:t>
      </w:r>
      <w:r w:rsidR="00C315A2">
        <w:t>been done</w:t>
      </w:r>
      <w:r>
        <w:t xml:space="preserve"> in previous labs</w:t>
      </w:r>
      <w:r w:rsidR="00C315A2">
        <w:t>)</w:t>
      </w:r>
      <w:r w:rsidR="00790CDC">
        <w:t>.</w:t>
      </w:r>
      <w:r w:rsidR="00C315A2">
        <w:t xml:space="preserve"> </w:t>
      </w:r>
    </w:p>
    <w:p w:rsidR="00C32B37" w:rsidRDefault="00C315A2" w:rsidP="00C32B37">
      <w:pPr>
        <w:pStyle w:val="element10"/>
      </w:pPr>
      <w:r>
        <w:t xml:space="preserve">The new command </w:t>
      </w:r>
      <w:r w:rsidR="00CC5623">
        <w:t xml:space="preserve">(steps 1-3) </w:t>
      </w:r>
      <w:r>
        <w:t>will have a name like “</w:t>
      </w:r>
      <w:proofErr w:type="spellStart"/>
      <w:r>
        <w:t>addpointMonitor</w:t>
      </w:r>
      <w:proofErr w:type="spellEnd"/>
      <w:r>
        <w:t>”</w:t>
      </w:r>
      <w:r w:rsidR="003B3DE6">
        <w:t xml:space="preserve">. The name of the new </w:t>
      </w:r>
      <w:r w:rsidR="00D6063F">
        <w:t xml:space="preserve">function </w:t>
      </w:r>
      <w:r w:rsidR="003B3DE6">
        <w:t>will have a name like “</w:t>
      </w:r>
      <w:proofErr w:type="spellStart"/>
      <w:r w:rsidR="003B3DE6" w:rsidRPr="00C315A2">
        <w:t>MyPointMonitor</w:t>
      </w:r>
      <w:proofErr w:type="spellEnd"/>
      <w:r w:rsidR="003B3DE6">
        <w:t xml:space="preserve">” (steps 4-26) and will be the call back for the </w:t>
      </w:r>
      <w:proofErr w:type="spellStart"/>
      <w:r w:rsidR="003B3DE6">
        <w:t>PointMonitor</w:t>
      </w:r>
      <w:proofErr w:type="spellEnd"/>
      <w:r w:rsidR="003B3DE6">
        <w:t xml:space="preserve"> added in the “</w:t>
      </w:r>
      <w:proofErr w:type="spellStart"/>
      <w:r w:rsidR="003B3DE6">
        <w:t>addpoint</w:t>
      </w:r>
      <w:r w:rsidR="00C8721E">
        <w:t>M</w:t>
      </w:r>
      <w:r w:rsidR="003B3DE6">
        <w:t>onitor</w:t>
      </w:r>
      <w:proofErr w:type="spellEnd"/>
      <w:r w:rsidR="003B3DE6">
        <w:t xml:space="preserve">” command.  </w:t>
      </w:r>
      <w:r w:rsidR="0064130A">
        <w:t>In this callback that is called w</w:t>
      </w:r>
      <w:r w:rsidR="00BC62FC">
        <w:t xml:space="preserve">hen the </w:t>
      </w:r>
      <w:r w:rsidR="00C32B37">
        <w:t>cursor</w:t>
      </w:r>
      <w:r w:rsidR="00BC62FC">
        <w:t xml:space="preserve"> moves </w:t>
      </w:r>
      <w:r w:rsidR="00F05934">
        <w:t xml:space="preserve">it </w:t>
      </w:r>
      <w:r w:rsidR="00BC62FC">
        <w:t xml:space="preserve">will get an object called </w:t>
      </w:r>
      <w:proofErr w:type="spellStart"/>
      <w:r w:rsidR="00BC62FC">
        <w:t>FullSubentityPath</w:t>
      </w:r>
      <w:proofErr w:type="spellEnd"/>
      <w:r w:rsidR="00BC62FC">
        <w:t xml:space="preserve"> from the </w:t>
      </w:r>
      <w:proofErr w:type="spellStart"/>
      <w:r w:rsidR="00BC62FC" w:rsidRPr="00BC62FC">
        <w:rPr>
          <w:rFonts w:eastAsia="MS Mincho"/>
          <w:lang w:eastAsia="ja-JP"/>
        </w:rPr>
        <w:t>PointMonitorEventArgs</w:t>
      </w:r>
      <w:proofErr w:type="spellEnd"/>
      <w:r w:rsidR="00BC62FC">
        <w:t xml:space="preserve"> passed into the function. </w:t>
      </w:r>
      <w:proofErr w:type="gramStart"/>
      <w:r w:rsidR="00C32B37">
        <w:t>(</w:t>
      </w:r>
      <w:r w:rsidR="0000333F">
        <w:t>I</w:t>
      </w:r>
      <w:r w:rsidR="00C32B37">
        <w:t>f the cursor is over an entity)</w:t>
      </w:r>
      <w:r w:rsidR="0000333F">
        <w:t>.</w:t>
      </w:r>
      <w:proofErr w:type="gramEnd"/>
      <w:r w:rsidR="00C32B37">
        <w:t xml:space="preserve"> The </w:t>
      </w:r>
      <w:proofErr w:type="spellStart"/>
      <w:r w:rsidR="00C32B37">
        <w:t>FullSubentityPath</w:t>
      </w:r>
      <w:proofErr w:type="spellEnd"/>
      <w:r w:rsidR="00C32B37">
        <w:t xml:space="preserve"> consists of an array of object IDs and a </w:t>
      </w:r>
      <w:proofErr w:type="spellStart"/>
      <w:r w:rsidR="00C32B37">
        <w:rPr>
          <w:rStyle w:val="element146"/>
        </w:rPr>
        <w:t>SubentityId</w:t>
      </w:r>
      <w:proofErr w:type="spellEnd"/>
      <w:r w:rsidR="00C32B37">
        <w:t xml:space="preserve"> object. The </w:t>
      </w:r>
      <w:proofErr w:type="spellStart"/>
      <w:r w:rsidR="00C32B37">
        <w:t>subentity</w:t>
      </w:r>
      <w:proofErr w:type="spellEnd"/>
      <w:r w:rsidR="00C32B37">
        <w:t xml:space="preserve"> ID object contains the graphics system marker of the </w:t>
      </w:r>
      <w:proofErr w:type="spellStart"/>
      <w:r w:rsidR="00C32B37">
        <w:t>subentity</w:t>
      </w:r>
      <w:proofErr w:type="spellEnd"/>
      <w:r w:rsidR="00C32B37">
        <w:t xml:space="preserve"> and the type of the </w:t>
      </w:r>
      <w:proofErr w:type="spellStart"/>
      <w:r w:rsidR="00C32B37">
        <w:t>subentity</w:t>
      </w:r>
      <w:proofErr w:type="spellEnd"/>
      <w:r w:rsidR="00C32B37">
        <w:t xml:space="preserve"> (that is, edge, face, </w:t>
      </w:r>
      <w:proofErr w:type="gramStart"/>
      <w:r w:rsidR="00C32B37">
        <w:t>vertex</w:t>
      </w:r>
      <w:proofErr w:type="gramEnd"/>
      <w:r w:rsidR="00C32B37">
        <w:t>).</w:t>
      </w:r>
    </w:p>
    <w:p w:rsidR="0064130A" w:rsidRDefault="00C32B37" w:rsidP="00C315A2">
      <w:r>
        <w:t xml:space="preserve">The code will append a ToolTip with the entity type the cursor is over. In the callback you will also </w:t>
      </w:r>
      <w:r w:rsidR="00C013BB">
        <w:t xml:space="preserve">highlight the object entry in the </w:t>
      </w:r>
      <w:proofErr w:type="spellStart"/>
      <w:r w:rsidR="00C013BB">
        <w:t>TreeView</w:t>
      </w:r>
      <w:proofErr w:type="spellEnd"/>
      <w:r w:rsidR="00C013BB">
        <w:t xml:space="preserve"> created in previous labs.</w:t>
      </w:r>
      <w:r>
        <w:t xml:space="preserve"> </w:t>
      </w:r>
    </w:p>
    <w:p w:rsidR="005C3E25" w:rsidRDefault="005C3E25" w:rsidP="00C315A2"/>
    <w:p w:rsidR="005C3E25" w:rsidRDefault="00517D0C" w:rsidP="00C315A2">
      <w:r>
        <w:rPr>
          <w:noProof/>
          <w:lang w:eastAsia="en-US"/>
        </w:rPr>
        <w:drawing>
          <wp:inline distT="0" distB="0" distL="0" distR="0">
            <wp:extent cx="5943600" cy="1124919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249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62FC" w:rsidRDefault="00BC62FC" w:rsidP="00C315A2"/>
    <w:p w:rsidR="00517D0C" w:rsidRDefault="00517D0C" w:rsidP="00C315A2"/>
    <w:p w:rsidR="00C315A2" w:rsidRDefault="003B3DE6" w:rsidP="00C315A2">
      <w:r>
        <w:t>T</w:t>
      </w:r>
      <w:r w:rsidR="00C315A2">
        <w:t xml:space="preserve">he </w:t>
      </w:r>
      <w:r w:rsidR="00517D0C">
        <w:t xml:space="preserve">pre </w:t>
      </w:r>
      <w:r w:rsidR="00C315A2">
        <w:t>existing command is “</w:t>
      </w:r>
      <w:proofErr w:type="spellStart"/>
      <w:r w:rsidR="00C315A2">
        <w:t>NewInput</w:t>
      </w:r>
      <w:proofErr w:type="spellEnd"/>
      <w:r w:rsidR="00C315A2">
        <w:t>”</w:t>
      </w:r>
      <w:r w:rsidR="00CC5623">
        <w:t xml:space="preserve"> (steps 27-30)</w:t>
      </w:r>
      <w:r w:rsidR="0064130A">
        <w:t>.</w:t>
      </w:r>
      <w:r w:rsidR="00C013BB">
        <w:t xml:space="preserve"> In these steps you will use another </w:t>
      </w:r>
      <w:proofErr w:type="spellStart"/>
      <w:r w:rsidR="00C013BB" w:rsidRPr="00C013BB">
        <w:t>PointMonitor</w:t>
      </w:r>
      <w:proofErr w:type="spellEnd"/>
      <w:r w:rsidR="00C013BB">
        <w:t xml:space="preserve"> but it will be added and then removed </w:t>
      </w:r>
      <w:r w:rsidR="0000333F">
        <w:t xml:space="preserve">before </w:t>
      </w:r>
      <w:r w:rsidR="00C013BB">
        <w:t>the command</w:t>
      </w:r>
      <w:r w:rsidR="0000333F">
        <w:t xml:space="preserve"> ends</w:t>
      </w:r>
      <w:r w:rsidR="00C013BB">
        <w:t xml:space="preserve">.  During the </w:t>
      </w:r>
      <w:r w:rsidR="00517D0C">
        <w:t xml:space="preserve">Editor </w:t>
      </w:r>
      <w:proofErr w:type="spellStart"/>
      <w:r w:rsidR="00C013BB">
        <w:t>GetPoint</w:t>
      </w:r>
      <w:proofErr w:type="spellEnd"/>
      <w:r w:rsidR="0062774A">
        <w:t xml:space="preserve"> function the </w:t>
      </w:r>
      <w:proofErr w:type="spellStart"/>
      <w:r w:rsidR="0062774A">
        <w:t>PointMonitor</w:t>
      </w:r>
      <w:proofErr w:type="spellEnd"/>
      <w:r w:rsidR="0062774A">
        <w:t xml:space="preserve"> is used to</w:t>
      </w:r>
      <w:r w:rsidR="0062774A"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 </w:t>
      </w:r>
      <w:r w:rsidR="0062774A" w:rsidRPr="0062774A">
        <w:t>draw temporary graphics at certain positions along the entity</w:t>
      </w:r>
      <w:r w:rsidR="0062774A">
        <w:t>. In</w:t>
      </w:r>
      <w:r>
        <w:t xml:space="preserve"> t</w:t>
      </w:r>
      <w:r w:rsidR="00C315A2">
        <w:t>he</w:t>
      </w:r>
      <w:r w:rsidR="0062774A">
        <w:t xml:space="preserve"> </w:t>
      </w:r>
      <w:r w:rsidR="00517D0C">
        <w:t>l</w:t>
      </w:r>
      <w:r w:rsidR="0062774A">
        <w:t>ab</w:t>
      </w:r>
      <w:r w:rsidR="00517D0C">
        <w:t>’</w:t>
      </w:r>
      <w:r w:rsidR="0062774A">
        <w:t>s</w:t>
      </w:r>
      <w:r w:rsidR="00C315A2">
        <w:t xml:space="preserve"> existing </w:t>
      </w:r>
      <w:r w:rsidR="00D6063F">
        <w:t xml:space="preserve">function </w:t>
      </w:r>
      <w:r w:rsidR="00C315A2">
        <w:t>“</w:t>
      </w:r>
      <w:proofErr w:type="spellStart"/>
      <w:r w:rsidR="00C315A2" w:rsidRPr="00C315A2">
        <w:t>MyInputMonitor</w:t>
      </w:r>
      <w:proofErr w:type="spellEnd"/>
      <w:r w:rsidR="00C315A2">
        <w:t xml:space="preserve">” steps </w:t>
      </w:r>
      <w:r w:rsidR="00CC5623">
        <w:t>(31-44)</w:t>
      </w:r>
      <w:r w:rsidR="0062774A">
        <w:t xml:space="preserve"> you will use </w:t>
      </w:r>
      <w:r w:rsidR="00517D0C">
        <w:t>the Curve class</w:t>
      </w:r>
      <w:r w:rsidR="0062774A">
        <w:t xml:space="preserve"> </w:t>
      </w:r>
      <w:proofErr w:type="spellStart"/>
      <w:r w:rsidR="0062774A">
        <w:t>GetPointAtDist</w:t>
      </w:r>
      <w:proofErr w:type="spellEnd"/>
      <w:r w:rsidR="0062774A">
        <w:t xml:space="preserve"> </w:t>
      </w:r>
      <w:r w:rsidR="00517D0C">
        <w:t>method with</w:t>
      </w:r>
      <w:r w:rsidR="0062774A">
        <w:t xml:space="preserve"> values from the Extension Dictionary to control where the </w:t>
      </w:r>
      <w:r w:rsidR="0000333F">
        <w:t>t</w:t>
      </w:r>
      <w:r w:rsidR="0062774A">
        <w:t xml:space="preserve">emporary graphics are drawn. To keep the size of the </w:t>
      </w:r>
      <w:r w:rsidR="0000333F">
        <w:t>t</w:t>
      </w:r>
      <w:r w:rsidR="0062774A">
        <w:t xml:space="preserve">emporary graphics consistent regardless of the zoom value you use </w:t>
      </w:r>
      <w:proofErr w:type="spellStart"/>
      <w:r w:rsidR="0062774A" w:rsidRPr="0062774A">
        <w:t>GetNumPixelsInUnitSquare</w:t>
      </w:r>
      <w:proofErr w:type="spellEnd"/>
      <w:r w:rsidR="0062774A">
        <w:t>.</w:t>
      </w:r>
      <w:r w:rsidR="0000333F">
        <w:t xml:space="preserve"> To create the temporary graphics</w:t>
      </w:r>
      <w:r w:rsidR="003E1AB4">
        <w:t xml:space="preserve"> you use methods of the </w:t>
      </w:r>
      <w:proofErr w:type="spellStart"/>
      <w:r w:rsidR="003E1AB4" w:rsidRPr="003E1AB4">
        <w:t>PointMonitorEventArgs</w:t>
      </w:r>
      <w:proofErr w:type="spellEnd"/>
      <w:r w:rsidR="003E1AB4">
        <w:t xml:space="preserve"> passed into the event callback.</w:t>
      </w:r>
    </w:p>
    <w:p w:rsidR="005C3E25" w:rsidRDefault="005C3E25" w:rsidP="00C315A2"/>
    <w:p w:rsidR="005C3E25" w:rsidRDefault="005C3E25" w:rsidP="00C315A2"/>
    <w:p w:rsidR="0062774A" w:rsidRDefault="005C3E25" w:rsidP="00C315A2">
      <w:r>
        <w:rPr>
          <w:noProof/>
          <w:lang w:eastAsia="en-US"/>
        </w:rPr>
        <w:lastRenderedPageBreak/>
        <w:drawing>
          <wp:inline distT="0" distB="0" distL="0" distR="0">
            <wp:extent cx="5795010" cy="1922493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9403" cy="19206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3E25" w:rsidRDefault="005C3E25" w:rsidP="009F04A7"/>
    <w:p w:rsidR="009F04A7" w:rsidRDefault="00C315A2" w:rsidP="009F04A7">
      <w:r>
        <w:t>T</w:t>
      </w:r>
      <w:r w:rsidR="009F04A7">
        <w:t>he comments a</w:t>
      </w:r>
      <w:r>
        <w:t xml:space="preserve">re the steps for the lab. You can copy the comments and code below </w:t>
      </w:r>
      <w:r w:rsidR="009F04A7">
        <w:t xml:space="preserve">to the </w:t>
      </w:r>
      <w:proofErr w:type="spellStart"/>
      <w:r w:rsidR="00D6063F">
        <w:t>cs</w:t>
      </w:r>
      <w:proofErr w:type="spellEnd"/>
      <w:r w:rsidR="009F04A7">
        <w:t xml:space="preserve"> file in your existing project (need to copy inside of an existing class) or open the Lab6 project that already has the</w:t>
      </w:r>
      <w:r>
        <w:t>se</w:t>
      </w:r>
      <w:r w:rsidR="009F04A7">
        <w:t xml:space="preserve"> procedures and steps</w:t>
      </w:r>
      <w:r w:rsidR="00CC5623">
        <w:t>.</w:t>
      </w:r>
      <w:r>
        <w:t xml:space="preserve"> </w:t>
      </w:r>
    </w:p>
    <w:p w:rsidR="00D6063F" w:rsidRDefault="00D6063F" w:rsidP="00D6063F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Start of Lab6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Note: In step 10 you add a tooltip to the PointMonitor. In the first 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release of AutoCAD 2012 there is a problem and Tooltips are not displaying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unless the setting for ROLLOVERTIPS = 0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This should be fixed in the first service pack. Also in AutoCAD 2012 you 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may get an assert when hovering over entities after adding the PointMonitor.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(just ignore it) This problem has been reported to AutoCAD engineering.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1. Use the CommandMethod attribute and create a command named "addpointmonitor"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name the function something like startMonitor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Note: put the closing curley brace after step 3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2. Declare an Editor variable named ed. Instantiate it using the Editor property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of the Application.DocumentManager.MdiActiveDocument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3. Connect to the PointMonitor event. Use the PointMonitor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event of the editor variable created in step 2. Use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+= and use the new statement and create a new PointMonitorEventHandler. For 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the target parameter use the name of a function we will create in step 4.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(MyPointMonitor).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4. Create a Public function named MyPointMonitor. This is the functions that 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will be called everytime the mouse moves. (The name needs to be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the name used in the Delegate parameter of step 3). The first parameter is an 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object. (Use sender as the name of the Object). The second parameter is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a PointMonitorEventArgs. (Use e as the name of the PointMonitorEventArgs)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Note: Put the closing curley brace after step 26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5. Declare an array of the Type FullSubentityPath type. For the name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of the array use something like fullEntPath. Instantiate it by 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making it equal to the GetPickedEntities method of the Context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property of the PointMonitorEventArgs passed into the Sub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6. Use an "if" statement and test the Length property of the array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created in step 5. Make sure it is greater than zero.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Note: Put the closing curley brace after step 26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7. Declare a variable named trans as a Transaction. Instantiate it by makine it 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equal to the return of the StartTransaction method of the TransactionManager 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of the current database. 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Application.DocumentManager.MdiActiveDocument.Database.TransactionManager.StartTransaction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8. Create a Try Catch block. 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Note: Put the catch and finally statements after step 25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(enclose step 26 in the finally block).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Put the closing curley brace for the try after step 26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9. Declare a variable as an Entity. Instantiate it using the 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GetObject method of the transaction created in step 7. For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the ObjectId parameter use the first element in GetObjectIds()[0]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of the zero element in the array of FullSubentityPath created in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step 5 open the Entity for read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10. Add a tooltip by using the AppendToolTipText method of the 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PointMonitorEventArgs passed into the function. 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Use something like this for the string argument: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"The Entity is a " + ent.GetType().ToString()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Note: In the first release of AutoCAD 2012 Tooltips are not showing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unless ROLLOVERTIPS = 0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11. Use an "if" statement and Check that the palette (myPalette) has 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been created. (== null) f it is null return.     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12. The following steps will make the text of the entry for a DBEntity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in the palette created in Lab4 Bold. Declare a variable named fontRegular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as a System.Drawing.Font. Instantiate it by making it equal to a New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System.Drawing.Font. For the arguments use the following: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"Microsoft Sans Serif", 8, System.Drawing.FontStyle.Regular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 13. Declare a variable named fontBold as a System.Drawing.Font. 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Instantiate it by making it equal to a New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System.Drawing.Font. For the arguments use the following: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"Microsoft Sans Serif", 8, System.Drawing.FontStyle.Bold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14. Use the SuspendLayout() method of the treeView1 created in Lab4 to 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wait until after the steps below are processed. Use the "this" Keyword to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get to the Palette (myPalette) with the treeView.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15. Here we will search for an object in the treeview control so the font 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lastRenderedPageBreak/>
        <w:t>// can be chaged to bold.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Create a foreach statement. Use node for the element name and the type is 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System.Windows.Forms.Treenode. The group paramater is the Nodes in the TreeView.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(myPalette.treeView1.Nodes)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Note: put the closing curley brace below step 21. 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(In this foreach if the cursor is over an entity and the entity is 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an entry in the TreeView it will be highlighted.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16. use an "if else" and see if the Tag property of the node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 is equal to the ObjectId of the entity declared in step 9. 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(Use ToString for the comparison)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Note: put the "else" after step 19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 Put the closing curley brace after step 21. 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17. If we get here then the node is the one we want.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 Use "!if" (not) and use the Equals method of the 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 System.Drawing.Font variable created in step 13. For 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the Object parameter use the NodeFont property of the node.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Note: Put the closing curley brace after step 19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18. Make the NodeFont property of the node equal to the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System.Drawing.Font variable created in step 13.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 19. Make the Text property of the node equal to the 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node.Text property.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20. If we get here then the node is not the node we want.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 Use "!if" (not) and use the Equals method of the 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 System.Drawing.Font variable created in step 12. For 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the Object parameter use the NodeFont property of the node.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Note: Put the closing curley brace after step 20.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21. Make the NodeFont property of the node equal to the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System.Drawing.Font variable created in step 12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 22. Now it's time to recalc the layout of the treeview. Use the 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ResumeLayout() method of the TreeView. Use the this Keyword to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get to the Palette (myPalette) with the treeView.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23. Refresh the TreeView with the Refresh method() of the TreeView.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24. Update the TreView with the Update method() of the TreeView.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 25. All is ok if we get here so Commit the transaction created in 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step 7.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 26. Whatever happens we must dispose the transaction. (This is 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 in the Finally block). Use the Dispose method of the 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transaction created in step 7.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Note: continue to step 27 in the NewInput function. You could also build and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test the addPointmonitor command before completing the following steps.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[CommandMethod(</w:t>
      </w:r>
      <w:r>
        <w:rPr>
          <w:rFonts w:ascii="Courier New" w:eastAsiaTheme="minorHAnsi" w:hAnsi="Courier New" w:cs="Courier New"/>
          <w:noProof/>
          <w:color w:val="A31515"/>
          <w:sz w:val="20"/>
          <w:szCs w:val="20"/>
          <w:lang w:eastAsia="en-US"/>
        </w:rPr>
        <w:t>"newInput"</w:t>
      </w: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)]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  <w:lastRenderedPageBreak/>
        <w:t>public</w:t>
      </w: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  <w:t>void</w:t>
      </w: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NewInput()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{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start our input point Monitor    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get the editor object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Editor ed = Application.DocumentManager.MdiActiveDocument.Editor;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now add the delegate to the events list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ed.PointMonitor +=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  <w:t>new</w:t>
      </w: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PointMonitorEventHandler(MyInputMonitor);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27. Need to enable the AutoCAD input event mechanism to do a pick under the prevailing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pick aperture on all digitizer events, regardless of whether a point is being acquired 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or whether any OSNAP modes are currently active. Use the TurnForcedPickOn method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of the Editor created above. "ed"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28. Here we are going to ask the user to pick a point. Declare a variable as a 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PromptPointOptions. Instantiate it by creating a new PromptPointOptions 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for the Message parameter using something like "Pick A Point : "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29. Declare a variable as a PromptPointResult. Instantiate it using the GetPoint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method of the editor created above. "ed". Pass in the PromptPointOptions created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in step 28.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if ok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//if (getPointResult.Status == PromptStatus.OK)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//{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  //     ' do something...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//}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30. Now remove our point monitor as we are finished With it.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Use the PointMonitor property of the Editor created above. "ed". 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use -= and use new with a PointMonitorEventHandler for the Object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parameter use "MyInputMonitor"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Continue to step 31 in the MyInputMonitor function.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}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  <w:t>public</w:t>
      </w: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  <w:t>void</w:t>
      </w: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MyInputMonitor(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  <w:t>object</w:t>
      </w: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sender, PointMonitorEventArgs e)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{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  <w:t>if</w:t>
      </w: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(e.Context == </w:t>
      </w:r>
      <w:r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  <w:t>null</w:t>
      </w: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)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{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  <w:t>return</w:t>
      </w: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;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}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first lets check what is under the Cursor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FullSubentityPath[] fullEntPath = e.Context.GetPickedEntities();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  <w:t>if</w:t>
      </w: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(fullEntPath.Length &gt; 0)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{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start a transaction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lastRenderedPageBreak/>
        <w:t>Transaction trans = Application.DocumentManager.MdiActiveDocument.Database.TransactionManager.StartTransaction();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  <w:t>try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{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open the Entity for read, it must be derived from Curve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Curve ent = (Curve)trans.GetObject(fullEntPath[0].GetObjectIds()[0], OpenMode.ForRead);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ok, so if we are over something - then check to see if it has an extension dictionary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  <w:t>if</w:t>
      </w: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(ent.ExtensionDictionary.IsValid)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{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open it for read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DBDictionary extensionDict = (DBDictionary)trans.GetObject(ent.ExtensionDictionary, OpenMode.ForRead);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find the entry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ObjectId entryId = extensionDict.GetAt(</w:t>
      </w:r>
      <w:r>
        <w:rPr>
          <w:rFonts w:ascii="Courier New" w:eastAsiaTheme="minorHAnsi" w:hAnsi="Courier New" w:cs="Courier New"/>
          <w:noProof/>
          <w:color w:val="A31515"/>
          <w:sz w:val="20"/>
          <w:szCs w:val="20"/>
          <w:lang w:eastAsia="en-US"/>
        </w:rPr>
        <w:t>"MyData"</w:t>
      </w: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);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if we are here, then all is ok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extract the xrecord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Xrecord myXrecord;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read it from the extension dictionary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myXrecord = (Xrecord)trans.GetObject(entryId, OpenMode.ForRead);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31. ' We will draw temporary graphics at certain positions along the entity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Create a "foreach" loop. For the element use a TypedValue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named myTypeVal. For the group use the Data property of the Xrecord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instantiated above. "myXrecord".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Note" put the closing curley brace after step 44.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32. Use an "if" statement and see if the TypeCode of the TypedValue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is a real. (Use DxfCode.Real as the test).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Note: Put the closing curley brace after step 44.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33. To locate the temporary graphics along the Curve 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to show the distances we need to get the point along the curve.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Note: The value of the TypedValue will be 51.9, 100.0 and 320.6. 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These values were added in Lab 5. Because of this the entity that you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hover over needs to be at least 51.9 units long. (keep this in mind 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when you test this). 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Declare a vaiable as a Point3d object. Instantiate it using 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the GetPointAtDist method of the ent instantatied above. "ent"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For the Value parameter using the Value property of the TypedValue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34. We need to work out how many pixels are in a unit square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so we can keep the temporary graphics a set size regardless of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the zoom scale. Declare a variable as a Point2d name it something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like "pixels". Instantiate it using the GetNumPixelsInUnitSquare method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of the current Viewport. (Pass in the Point3d created in step 33).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Use: e.Context.DrawContext.Viewport.GetNumPixelsInUnitSquare()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35. We need some constant distances. Declare a variable as a double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 named something like "xDist". make it equal to 10 divided by the 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lastRenderedPageBreak/>
        <w:t xml:space="preserve">//  X property of the Point2d variable created in step 34. 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36. Declare a variable as a double named something like "yDist". 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make it equal to 10 divided by the Y property of the Point2d variable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created in step 34. 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37. Draw the temporary Graphics. Declare a variable as a Circle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instantiate is by creating a new Circle. Use the Point3d variable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created in step 33 for the for the center. For the normal use 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Vector3d.ZAxis. For the radius use the double from step 35. 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 38. Use the Draw method to display the circle. (Pass in the circle). 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Use:  e.Context.DrawContext.Geometry.Draw()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39. Here we will add more temporary graphics. (text). Declare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a variable as DBText. Instantiate it by creating new DBText.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40. Always a good idea to set the Database defaults With things like 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text, dimensions etc. Use the SetDatabaseDefaults method of the DBText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from step 39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41. Set the position of the text to the same point as the circle, 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but offset by the radius. Use the Position property and make it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equal to the Point3d created in step 33 plus a New Vector3d. For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the X parameter use the Double from step 35. For the Y parameter use 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the double from step 36. For Z just use zero.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42. Use the data from the Xrecord for the text. Use the TextString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property of the DBText created in step 39. Make it equal to the 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Value of the TypedValue. (use ToString)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 43. Make the Height of the DBText equal to the double created in 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step 36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 44. Use the Draw method to display the text. (Pass in the DBText). 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Use:  e.Context.DrawContext.Geometry.Draw()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 Note: The backgound color may impact the display of the temporary 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text. (it displays as white in this example, so may need to change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the background color to see it, or change the color of the DBText)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End of Lab6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}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all ok, commit it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trans.Commit();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}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  <w:t>catch</w:t>
      </w: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 xml:space="preserve"> (Exception ex)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{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}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00FF"/>
          <w:sz w:val="20"/>
          <w:szCs w:val="20"/>
          <w:lang w:eastAsia="en-US"/>
        </w:rPr>
        <w:t>finally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{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 whatever happens we must dispose the transaction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trans.Dispose();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}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sz w:val="20"/>
          <w:szCs w:val="2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}</w:t>
      </w:r>
    </w:p>
    <w:p w:rsidR="00737847" w:rsidRDefault="00737847" w:rsidP="00737847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sz w:val="20"/>
          <w:szCs w:val="20"/>
          <w:lang w:eastAsia="en-US"/>
        </w:rPr>
        <w:t>}</w:t>
      </w:r>
    </w:p>
    <w:sectPr w:rsidR="00737847" w:rsidSect="00FF75A9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976BD9"/>
    <w:multiLevelType w:val="hybridMultilevel"/>
    <w:tmpl w:val="340ABDD6"/>
    <w:lvl w:ilvl="0" w:tplc="20E44DC6">
      <w:start w:val="1"/>
      <w:numFmt w:val="upp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B204FD"/>
    <w:rsid w:val="0000333F"/>
    <w:rsid w:val="001429A2"/>
    <w:rsid w:val="00197ADB"/>
    <w:rsid w:val="00214759"/>
    <w:rsid w:val="00231214"/>
    <w:rsid w:val="00252C54"/>
    <w:rsid w:val="00255724"/>
    <w:rsid w:val="002E3FBA"/>
    <w:rsid w:val="0032742E"/>
    <w:rsid w:val="003545B7"/>
    <w:rsid w:val="0039643E"/>
    <w:rsid w:val="003B3DE6"/>
    <w:rsid w:val="003C3672"/>
    <w:rsid w:val="003E1AB4"/>
    <w:rsid w:val="00462E17"/>
    <w:rsid w:val="00464BA9"/>
    <w:rsid w:val="004B5416"/>
    <w:rsid w:val="004E6A89"/>
    <w:rsid w:val="005029F3"/>
    <w:rsid w:val="00517D0C"/>
    <w:rsid w:val="0052371B"/>
    <w:rsid w:val="00555DD1"/>
    <w:rsid w:val="0059130F"/>
    <w:rsid w:val="005B1D20"/>
    <w:rsid w:val="005C3E25"/>
    <w:rsid w:val="005E688A"/>
    <w:rsid w:val="0062774A"/>
    <w:rsid w:val="00637280"/>
    <w:rsid w:val="0064130A"/>
    <w:rsid w:val="006A6863"/>
    <w:rsid w:val="006F445B"/>
    <w:rsid w:val="00713BD0"/>
    <w:rsid w:val="00724D45"/>
    <w:rsid w:val="00737847"/>
    <w:rsid w:val="00767E1C"/>
    <w:rsid w:val="00790CDC"/>
    <w:rsid w:val="007E08CB"/>
    <w:rsid w:val="00837FBD"/>
    <w:rsid w:val="00872476"/>
    <w:rsid w:val="008D4ADF"/>
    <w:rsid w:val="009064AE"/>
    <w:rsid w:val="0092186E"/>
    <w:rsid w:val="009B4969"/>
    <w:rsid w:val="009F04A7"/>
    <w:rsid w:val="00A314D7"/>
    <w:rsid w:val="00A44452"/>
    <w:rsid w:val="00B15745"/>
    <w:rsid w:val="00B204FD"/>
    <w:rsid w:val="00B24B25"/>
    <w:rsid w:val="00B82DC3"/>
    <w:rsid w:val="00BC62FC"/>
    <w:rsid w:val="00C013BB"/>
    <w:rsid w:val="00C02586"/>
    <w:rsid w:val="00C315A2"/>
    <w:rsid w:val="00C32B37"/>
    <w:rsid w:val="00C8721E"/>
    <w:rsid w:val="00CC5623"/>
    <w:rsid w:val="00D6063F"/>
    <w:rsid w:val="00D869B8"/>
    <w:rsid w:val="00E27333"/>
    <w:rsid w:val="00E45350"/>
    <w:rsid w:val="00ED33C0"/>
    <w:rsid w:val="00F05934"/>
    <w:rsid w:val="00F95121"/>
    <w:rsid w:val="00FF75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4FD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4E6A8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E6A8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D4AD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mailStyle151">
    <w:name w:val="EmailStyle15"/>
    <w:aliases w:val="EmailStyle15"/>
    <w:basedOn w:val="DefaultParagraphFont"/>
    <w:semiHidden/>
    <w:personal/>
    <w:personalCompose/>
    <w:rsid w:val="00B204FD"/>
    <w:rPr>
      <w:rFonts w:ascii="Arial" w:hAnsi="Arial" w:cs="Arial"/>
      <w:color w:val="auto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04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04FD"/>
    <w:rPr>
      <w:rFonts w:ascii="Tahoma" w:eastAsia="MS Mincho" w:hAnsi="Tahoma" w:cs="Tahoma"/>
      <w:sz w:val="16"/>
      <w:szCs w:val="16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4E6A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4E6A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rsid w:val="008D4AD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ja-JP"/>
    </w:rPr>
  </w:style>
  <w:style w:type="paragraph" w:customStyle="1" w:styleId="element10">
    <w:name w:val="element10"/>
    <w:basedOn w:val="Normal"/>
    <w:rsid w:val="00C32B37"/>
    <w:pPr>
      <w:spacing w:before="100" w:beforeAutospacing="1" w:after="100" w:afterAutospacing="1"/>
    </w:pPr>
    <w:rPr>
      <w:rFonts w:eastAsia="Times New Roman"/>
      <w:lang w:eastAsia="en-US"/>
    </w:rPr>
  </w:style>
  <w:style w:type="character" w:customStyle="1" w:styleId="element146">
    <w:name w:val="element146"/>
    <w:basedOn w:val="DefaultParagraphFont"/>
    <w:rsid w:val="00C32B3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553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11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245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46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916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78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993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7</Pages>
  <Words>2161</Words>
  <Characters>12320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Autodesk, Inc.</Company>
  <LinksUpToDate>false</LinksUpToDate>
  <CharactersWithSpaces>14453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Wayne Brill</dc:creator>
  <cp:keywords/>
  <dc:description/>
  <cp:lastModifiedBy>Wayne Brill</cp:lastModifiedBy>
  <cp:revision>7</cp:revision>
  <dcterms:created xsi:type="dcterms:W3CDTF">2010-04-16T16:51:00Z</dcterms:created>
  <dcterms:modified xsi:type="dcterms:W3CDTF">2011-06-07T20:11:00Z</dcterms:modified>
</cp:coreProperties>
</file>